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kern w:val="0"/>
          <w:sz w:val="36"/>
          <w:szCs w:val="36"/>
          <w:lang w:val="en-US" w:eastAsia="zh-CN"/>
        </w:rPr>
      </w:pPr>
      <w:r>
        <w:rPr>
          <w:rFonts w:hint="eastAsia" w:ascii="宋体" w:hAnsi="宋体" w:cs="宋体"/>
          <w:b/>
          <w:bCs/>
          <w:color w:val="auto"/>
          <w:kern w:val="0"/>
          <w:sz w:val="36"/>
          <w:szCs w:val="36"/>
          <w:lang w:val="en-US" w:eastAsia="zh-CN"/>
        </w:rPr>
        <w:t>黑龙江省高校毕业生就业专项</w:t>
      </w:r>
    </w:p>
    <w:p>
      <w:pPr>
        <w:jc w:val="center"/>
        <w:rPr>
          <w:rFonts w:hint="eastAsia" w:ascii="宋体" w:hAnsi="宋体" w:cs="宋体"/>
          <w:b/>
          <w:bCs/>
          <w:color w:val="auto"/>
          <w:kern w:val="0"/>
          <w:sz w:val="36"/>
          <w:szCs w:val="36"/>
        </w:rPr>
      </w:pPr>
      <w:r>
        <w:rPr>
          <w:rFonts w:hint="eastAsia" w:ascii="宋体" w:hAnsi="宋体" w:cs="宋体"/>
          <w:b/>
          <w:bCs/>
          <w:color w:val="auto"/>
          <w:kern w:val="0"/>
          <w:sz w:val="36"/>
          <w:szCs w:val="36"/>
          <w:lang w:val="en-US" w:eastAsia="zh-CN"/>
        </w:rPr>
        <w:t>重点课题</w:t>
      </w:r>
      <w:r>
        <w:rPr>
          <w:rFonts w:hint="eastAsia" w:ascii="宋体" w:hAnsi="宋体" w:cs="宋体"/>
          <w:b/>
          <w:bCs/>
          <w:color w:val="auto"/>
          <w:kern w:val="0"/>
          <w:sz w:val="36"/>
          <w:szCs w:val="36"/>
        </w:rPr>
        <w:t>选题指南</w:t>
      </w:r>
    </w:p>
    <w:p>
      <w:pPr>
        <w:spacing w:line="440" w:lineRule="exact"/>
        <w:ind w:firstLine="600" w:firstLineChars="200"/>
        <w:rPr>
          <w:rFonts w:hint="eastAsia" w:ascii="仿宋" w:hAnsi="仿宋" w:eastAsia="仿宋" w:cs="仿宋"/>
          <w:color w:val="auto"/>
          <w:sz w:val="30"/>
          <w:szCs w:val="30"/>
        </w:rPr>
      </w:pP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本选题指南供立项申请人参考使用，指南中的题目不完全等同于申报课题名称，申请人</w:t>
      </w:r>
      <w:r>
        <w:rPr>
          <w:rFonts w:hint="eastAsia" w:ascii="仿宋" w:hAnsi="仿宋" w:eastAsia="仿宋" w:cs="仿宋"/>
          <w:color w:val="auto"/>
          <w:sz w:val="30"/>
          <w:szCs w:val="30"/>
          <w:lang w:val="en-US" w:eastAsia="zh-CN"/>
        </w:rPr>
        <w:t>可进一步分解和细化，综合考虑课题研究内容、团</w:t>
      </w:r>
      <w:bookmarkStart w:id="0" w:name="_GoBack"/>
      <w:bookmarkEnd w:id="0"/>
      <w:r>
        <w:rPr>
          <w:rFonts w:hint="eastAsia" w:ascii="仿宋" w:hAnsi="仿宋" w:eastAsia="仿宋" w:cs="仿宋"/>
          <w:color w:val="auto"/>
          <w:sz w:val="30"/>
          <w:szCs w:val="30"/>
          <w:lang w:val="en-US" w:eastAsia="zh-CN"/>
        </w:rPr>
        <w:t>队科研能力、教育教学工作实际需要和学校基本情况,确定具体的课题名称。</w:t>
      </w:r>
    </w:p>
    <w:p>
      <w:pPr>
        <w:spacing w:line="440" w:lineRule="exact"/>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一、就业形势分析与政策研究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1.黑龙江省高校毕业生留省就业形势与对策研究</w:t>
      </w:r>
    </w:p>
    <w:p>
      <w:pPr>
        <w:spacing w:line="4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2.新时代背景下高校毕业生就业工作协同机制及路径选择研究</w:t>
      </w:r>
    </w:p>
    <w:p>
      <w:pPr>
        <w:spacing w:line="4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3.国家和地方高校毕业生就业创业政策研究</w:t>
      </w:r>
    </w:p>
    <w:p>
      <w:pPr>
        <w:spacing w:line="4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4.高校毕业生就业与招生、培养联动机制研究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5.新形势下高校毕业生就业状况跟踪机制研究</w:t>
      </w:r>
    </w:p>
    <w:p>
      <w:pPr>
        <w:spacing w:line="440" w:lineRule="exact"/>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二、就业市场体系建设研究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1.高校毕业生重点群体就业渠道拓展和帮扶研究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2.高校毕业生市场化社会化就业机制研究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3.鼓励引导毕业生到基层就业的长效机制研究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4.毕业生留省就业创业路径与市场化契合研究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5.产业需求视角下高校大学生就业能力的自我认知与用人单位评价</w:t>
      </w:r>
    </w:p>
    <w:p>
      <w:pPr>
        <w:spacing w:line="440" w:lineRule="exact"/>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三、职业发展与就业指导课程研究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1.高质量充分就业视域下黑龙江省高校大学生就业观培育策略研究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2.胜任力模型视域下工科专业硕士研究生就业能力提升研究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3.黑龙江省高校职业发展与就业指导课程标准建设研究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4.基于首届生涯规划大赛视角下的专科院校本土化生涯规划课程建设研究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5.高校毕业生职业决策困难影响因素研究</w:t>
      </w:r>
    </w:p>
    <w:p>
      <w:pPr>
        <w:spacing w:line="440" w:lineRule="exact"/>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四、就业指导师资队伍建设研究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1.基于全员“生涯导师制”的高校大学生就业服务体系构建研究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2.高校就业指导教师教学能力提升研究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3.高校就业指导骨干教师核心能力素质模型研究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4.大学生职业生涯发展教育师资队伍建设机制研究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5.高校专职就业指导教师队伍培育与培训创新模式研究</w:t>
      </w:r>
      <w:r>
        <w:rPr>
          <w:rFonts w:hint="eastAsia" w:ascii="仿宋" w:hAnsi="仿宋" w:eastAsia="仿宋" w:cs="仿宋"/>
          <w:color w:val="auto"/>
          <w:sz w:val="30"/>
          <w:szCs w:val="30"/>
          <w:lang w:val="en-US" w:eastAsia="zh-CN"/>
        </w:rPr>
        <w:tab/>
      </w:r>
    </w:p>
    <w:p>
      <w:pPr>
        <w:spacing w:line="440" w:lineRule="exact"/>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五、就业信息化研究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1.信息化背景下就业指导课程教学策略的优化与创新研究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2.全员就业背景下，多维度就业工作评价机制的探索</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3.基于平台数据的大学生就业质量评价体系建设研究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4.教育数字化背景下高职院校就业服务信息化建设的研究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5.高校就业信息化建设问题与对策研究</w:t>
      </w:r>
    </w:p>
    <w:p>
      <w:pPr>
        <w:spacing w:line="440" w:lineRule="exact"/>
        <w:ind w:firstLine="600" w:firstLineChars="2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六、生涯规划与就业指导服务体系研究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1.新时代高校大学生就业能力模型构建及培养策略研究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2.高等教育学历认证对于高校毕业生就业创业促进作用探析</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3.高校就业育人体系及培养模式研究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4.高校毕业生就业指导课程思政体系建设研究</w:t>
      </w:r>
    </w:p>
    <w:p>
      <w:pPr>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5.“三全育人”理念下大学生职业发展教育体系构建</w:t>
      </w:r>
      <w:r>
        <w:rPr>
          <w:rFonts w:hint="eastAsia" w:ascii="仿宋" w:hAnsi="仿宋" w:eastAsia="仿宋" w:cs="仿宋"/>
          <w:color w:val="auto"/>
          <w:sz w:val="30"/>
          <w:szCs w:val="30"/>
          <w:lang w:val="en-US" w:eastAsia="zh-CN"/>
        </w:rPr>
        <w:tab/>
      </w:r>
    </w:p>
    <w:p>
      <w:pPr>
        <w:spacing w:line="440" w:lineRule="exact"/>
        <w:ind w:firstLine="600" w:firstLineChars="200"/>
        <w:rPr>
          <w:rFonts w:hint="eastAsia" w:ascii="仿宋" w:hAnsi="仿宋" w:eastAsia="仿宋" w:cs="仿宋"/>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WJmYzI2YmFjNDI0MTdiNDVmMGJiNDFlZDZiZjAifQ=="/>
  </w:docVars>
  <w:rsids>
    <w:rsidRoot w:val="00000000"/>
    <w:rsid w:val="1C375C43"/>
    <w:rsid w:val="7024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 w:hAnsi="仿宋" w:eastAsia="仿宋" w:cs="仿宋"/>
      <w:color w:val="000000"/>
      <w:sz w:val="20"/>
      <w:szCs w:val="20"/>
      <w:u w:val="none"/>
    </w:rPr>
  </w:style>
  <w:style w:type="character" w:customStyle="1" w:styleId="5">
    <w:name w:val="font31"/>
    <w:basedOn w:val="3"/>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2024-04-26T04:24:26Z</dcterms:created>
  <dc:creator>67795</dc:creator>
  <cp:lastModifiedBy>勿忘心安</cp:lastModifiedBy>
  <dcterms:modified xsi:type="dcterms:W3CDTF">2024-04-26T04:31:37Z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B58E999483A142C5B7037CEA70D5A92F_12</vt:lpwstr>
  </property>
</Properties>
</file>