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kern w:val="2"/>
          <w:sz w:val="32"/>
          <w:szCs w:val="32"/>
          <w:lang w:val="en-US" w:eastAsia="zh-CN" w:bidi="ar-SA"/>
        </w:rPr>
      </w:pPr>
      <w:bookmarkStart w:id="0" w:name="_GoBack"/>
      <w:bookmarkEnd w:id="0"/>
      <w:r>
        <w:rPr>
          <w:rFonts w:hint="eastAsia" w:ascii="Times New Roman" w:hAnsi="Times New Roman" w:eastAsia="仿宋_GB2312" w:cs="Times New Roman"/>
          <w:b w:val="0"/>
          <w:bCs w:val="0"/>
          <w:kern w:val="2"/>
          <w:sz w:val="32"/>
          <w:szCs w:val="32"/>
          <w:lang w:val="en-US" w:eastAsia="zh-CN" w:bidi="ar-SA"/>
        </w:rPr>
        <w:t>附件1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小标宋简体" w:cs="Times New Roman"/>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2024年黑龙江省高等学校教师岗前培训工作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实施方案</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400" w:lineRule="exact"/>
        <w:ind w:firstLine="564" w:firstLineChars="196"/>
        <w:jc w:val="left"/>
        <w:textAlignment w:val="baseline"/>
        <w:rPr>
          <w:rStyle w:val="7"/>
          <w:rFonts w:hint="eastAsia" w:ascii="仿宋" w:hAnsi="仿宋" w:eastAsia="仿宋" w:cs="仿宋"/>
          <w:color w:val="auto"/>
          <w:w w:val="90"/>
          <w:kern w:val="2"/>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高等学校教师岗前培训是加强高等学校教师培养培训和队伍建设的重要基础性工作之一，是高等学校教师上岗必备的培训过程。根据教育部《高校教师岗前培训暂行细则》、《高校教师岗前培训教学指导纲要》以及黑龙江省教育厅有关文件精神，为做好2024年黑龙江省高校教师岗前培训工作，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一、培训目标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通过培训，帮助高校新入职教师初步掌握高等教育教学规律和基础知识，具备上岗必须的教育教学技能，适应教育教学任务，培养职业道德修养，提高教学科研水平，能够更好地全面履行教师岗位职责。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二、培训对象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教育部最新公布“全国普通高等学校名单”中所列我省78所普通高等学校和“全国成人高等学校”中所列我省16所成人高等学校的新入职专任教师和其他专业技术人员（包括从事教学管理、实验技术、教学辅助、学生思想政治工作以及医学院校附属医院从事教学工作的人员）。已具备《高等学校教师资格证》人员可免修《高等教育学》、《高等教育心理学》和《高等学校教师教育教学能力》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三、培训形式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采取网络培训、线下自学和校本培训相结合的形式。参训学员通过黑龙江省高校师资培训中心网站（http://hljgszx.hrbnu.edu.cn）高校教师岗前培训管理系统在线学习必修和选修课程，校本培训由所在学校根据本校实际自行组织。</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atLeast"/>
        <w:ind w:firstLine="576" w:firstLineChars="200"/>
        <w:jc w:val="both"/>
        <w:textAlignment w:val="baseline"/>
        <w:rPr>
          <w:rStyle w:val="7"/>
          <w:rFonts w:hint="eastAsia" w:ascii="黑体" w:hAnsi="黑体" w:eastAsia="黑体" w:cs="黑体"/>
          <w:b w:val="0"/>
          <w:bCs w:val="0"/>
          <w:color w:val="auto"/>
          <w:w w:val="90"/>
          <w:kern w:val="2"/>
          <w:sz w:val="32"/>
          <w:szCs w:val="32"/>
          <w:shd w:val="clear" w:color="auto" w:fill="auto"/>
          <w:lang w:val="en-US" w:eastAsia="zh-CN" w:bidi="ar-SA"/>
        </w:rPr>
      </w:pPr>
      <w:r>
        <w:rPr>
          <w:rStyle w:val="7"/>
          <w:rFonts w:hint="eastAsia" w:ascii="黑体" w:hAnsi="黑体" w:eastAsia="黑体" w:cs="黑体"/>
          <w:b w:val="0"/>
          <w:bCs w:val="0"/>
          <w:color w:val="auto"/>
          <w:w w:val="90"/>
          <w:kern w:val="2"/>
          <w:sz w:val="32"/>
          <w:szCs w:val="32"/>
          <w:shd w:val="clear" w:color="auto" w:fill="auto"/>
          <w:lang w:val="en-US" w:eastAsia="zh-CN" w:bidi="ar-SA"/>
        </w:rPr>
        <w:t>四、培训课程</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atLeast"/>
        <w:ind w:firstLine="576" w:firstLineChars="200"/>
        <w:jc w:val="both"/>
        <w:textAlignment w:val="baseline"/>
        <w:rPr>
          <w:rStyle w:val="7"/>
          <w:rFonts w:hint="eastAsia" w:ascii="楷体" w:hAnsi="楷体" w:eastAsia="楷体" w:cs="楷体"/>
          <w:b w:val="0"/>
          <w:bCs w:val="0"/>
          <w:color w:val="auto"/>
          <w:w w:val="90"/>
          <w:kern w:val="2"/>
          <w:sz w:val="32"/>
          <w:szCs w:val="32"/>
          <w:shd w:val="clear" w:color="auto" w:fill="auto"/>
          <w:lang w:val="en-US" w:eastAsia="zh-CN" w:bidi="ar-SA"/>
        </w:rPr>
      </w:pPr>
      <w:r>
        <w:rPr>
          <w:rStyle w:val="7"/>
          <w:rFonts w:hint="eastAsia" w:ascii="楷体" w:hAnsi="楷体" w:eastAsia="楷体" w:cs="楷体"/>
          <w:b w:val="0"/>
          <w:bCs w:val="0"/>
          <w:color w:val="auto"/>
          <w:w w:val="90"/>
          <w:kern w:val="2"/>
          <w:sz w:val="32"/>
          <w:szCs w:val="32"/>
          <w:shd w:val="clear" w:color="auto" w:fill="auto"/>
          <w:lang w:val="en-US" w:eastAsia="zh-CN" w:bidi="ar-SA"/>
        </w:rPr>
        <w:t>（一）“通识”培训部分</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atLeast"/>
        <w:ind w:firstLine="576" w:firstLineChars="200"/>
        <w:jc w:val="both"/>
        <w:textAlignment w:val="baseline"/>
        <w:rPr>
          <w:rStyle w:val="7"/>
          <w:rFonts w:hint="eastAsia" w:ascii="仿宋" w:hAnsi="仿宋" w:eastAsia="仿宋" w:cs="仿宋"/>
          <w:color w:val="auto"/>
          <w:w w:val="90"/>
          <w:kern w:val="2"/>
          <w:sz w:val="32"/>
          <w:szCs w:val="32"/>
          <w:shd w:val="clear" w:color="auto" w:fill="auto"/>
          <w:lang w:val="en-US" w:eastAsia="zh-CN" w:bidi="ar-SA"/>
        </w:rPr>
      </w:pPr>
      <w:r>
        <w:rPr>
          <w:rStyle w:val="7"/>
          <w:rFonts w:hint="eastAsia" w:ascii="仿宋" w:hAnsi="仿宋" w:eastAsia="仿宋" w:cs="仿宋"/>
          <w:bCs/>
          <w:color w:val="auto"/>
          <w:w w:val="90"/>
          <w:kern w:val="2"/>
          <w:sz w:val="32"/>
          <w:szCs w:val="32"/>
          <w:shd w:val="clear" w:color="auto" w:fill="auto"/>
          <w:lang w:val="en-US" w:eastAsia="zh-CN" w:bidi="ar-SA"/>
        </w:rPr>
        <w:t>1.培训课程目录</w:t>
      </w:r>
    </w:p>
    <w:tbl>
      <w:tblPr>
        <w:tblStyle w:val="5"/>
        <w:tblW w:w="10365"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3006"/>
        <w:gridCol w:w="5729"/>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1"/>
                <w:szCs w:val="21"/>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必修课目录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36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序号</w:t>
            </w:r>
          </w:p>
        </w:tc>
        <w:tc>
          <w:tcPr>
            <w:tcW w:w="3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36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课程名称</w:t>
            </w:r>
          </w:p>
        </w:tc>
        <w:tc>
          <w:tcPr>
            <w:tcW w:w="5729" w:type="dxa"/>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36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主讲教师</w:t>
            </w:r>
          </w:p>
        </w:tc>
        <w:tc>
          <w:tcPr>
            <w:tcW w:w="1010" w:type="dxa"/>
            <w:tcBorders>
              <w:top w:val="single" w:color="000000" w:sz="4" w:space="0"/>
              <w:left w:val="single" w:color="000000" w:sz="4" w:space="0"/>
              <w:bottom w:val="single" w:color="000000" w:sz="4" w:space="0"/>
              <w:right w:val="single" w:color="000000" w:sz="4" w:space="0"/>
            </w:tcBorders>
            <w:vAlign w:val="center"/>
          </w:tcPr>
          <w:p>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000000" w:themeColor="text1"/>
                <w:kern w:val="2"/>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2"/>
                <w:sz w:val="24"/>
                <w:szCs w:val="24"/>
                <w:shd w:val="clear" w:color="auto" w:fill="auto"/>
                <w:lang w:val="en-US" w:eastAsia="zh-CN" w:bidi="ar-SA"/>
                <w14:textFill>
                  <w14:solidFill>
                    <w14:schemeClr w14:val="tx1"/>
                  </w14:solidFill>
                </w14:textFill>
              </w:rPr>
              <w:t>时长</w:t>
            </w:r>
          </w:p>
          <w:p>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2"/>
                <w:sz w:val="24"/>
                <w:szCs w:val="24"/>
                <w:shd w:val="clear" w:color="auto" w:fill="auto"/>
                <w:lang w:val="en-US" w:eastAsia="zh-CN" w:bidi="ar-SA"/>
                <w14:textFill>
                  <w14:solidFill>
                    <w14:schemeClr w14:val="tx1"/>
                  </w14:solidFill>
                </w14:textFill>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1</w:t>
            </w:r>
          </w:p>
        </w:tc>
        <w:tc>
          <w:tcPr>
            <w:tcW w:w="3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高等教育学</w:t>
            </w:r>
          </w:p>
        </w:tc>
        <w:tc>
          <w:tcPr>
            <w:tcW w:w="5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高益民、林杰、刘宝存、洪成文、王璐、黄宇、谷贤林、杨明全（北京师范大学）</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44.74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2</w:t>
            </w:r>
          </w:p>
        </w:tc>
        <w:tc>
          <w:tcPr>
            <w:tcW w:w="300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高等教育心理学</w:t>
            </w:r>
          </w:p>
        </w:tc>
        <w:tc>
          <w:tcPr>
            <w:tcW w:w="5729"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7"/>
                <w:rFonts w:hint="eastAsia" w:ascii="仿宋" w:hAnsi="仿宋" w:eastAsia="仿宋" w:cs="仿宋"/>
                <w:b w:val="0"/>
                <w:bCs/>
                <w:color w:val="000000" w:themeColor="text1"/>
                <w:kern w:val="2"/>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伍新春（北京师范大学）、刘儒德（北京师范大学）、彭华茂（北京师范大学）、姚梅林（北京师范大学）、方平（首都师范大学）</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t>3</w:t>
            </w:r>
          </w:p>
        </w:tc>
        <w:tc>
          <w:tcPr>
            <w:tcW w:w="300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2"/>
                <w:sz w:val="24"/>
                <w:szCs w:val="24"/>
                <w:highlight w:val="none"/>
                <w:shd w:val="clear" w:color="auto" w:fill="auto"/>
                <w:lang w:val="en-US" w:eastAsia="zh-CN" w:bidi="ar-SA"/>
                <w14:textFill>
                  <w14:solidFill>
                    <w14:schemeClr w14:val="tx1"/>
                  </w14:solidFill>
                </w14:textFill>
              </w:rPr>
              <w:t>高等学校教师教育教学能力</w:t>
            </w:r>
          </w:p>
        </w:tc>
        <w:tc>
          <w:tcPr>
            <w:tcW w:w="5729"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pPr>
            <w:r>
              <w:rPr>
                <w:rStyle w:val="7"/>
                <w:rFonts w:hint="eastAsia" w:ascii="仿宋" w:hAnsi="仿宋" w:eastAsia="仿宋" w:cs="仿宋"/>
                <w:i w:val="0"/>
                <w:color w:val="000000" w:themeColor="text1"/>
                <w:kern w:val="0"/>
                <w:sz w:val="24"/>
                <w:szCs w:val="24"/>
                <w:highlight w:val="none"/>
                <w:shd w:val="clear" w:color="auto" w:fill="auto"/>
                <w:lang w:val="en-US" w:eastAsia="zh-CN"/>
                <w14:textFill>
                  <w14:solidFill>
                    <w14:schemeClr w14:val="tx1"/>
                  </w14:solidFill>
                </w14:textFill>
              </w:rPr>
              <w:t>韩映雄（华东师范大学）</w:t>
            </w:r>
            <w:r>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t>、</w:t>
            </w:r>
            <w:r>
              <w:rPr>
                <w:rStyle w:val="10"/>
                <w:rFonts w:hint="eastAsia" w:ascii="仿宋" w:hAnsi="仿宋" w:eastAsia="仿宋" w:cs="仿宋"/>
                <w:i w:val="0"/>
                <w:color w:val="000000" w:themeColor="text1"/>
                <w:kern w:val="2"/>
                <w:sz w:val="24"/>
                <w:szCs w:val="24"/>
                <w:highlight w:val="none"/>
                <w:shd w:val="clear" w:color="auto" w:fill="auto"/>
                <w:lang w:val="en-US" w:eastAsia="zh-CN"/>
                <w14:textFill>
                  <w14:solidFill>
                    <w14:schemeClr w14:val="tx1"/>
                  </w14:solidFill>
                </w14:textFill>
              </w:rPr>
              <w:t>吴能表（西南大学）</w:t>
            </w:r>
            <w:r>
              <w:rPr>
                <w:rStyle w:val="11"/>
                <w:rFonts w:hint="eastAsia" w:ascii="仿宋" w:hAnsi="仿宋" w:eastAsia="仿宋" w:cs="仿宋"/>
                <w:i w:val="0"/>
                <w:color w:val="000000" w:themeColor="text1"/>
                <w:kern w:val="2"/>
                <w:sz w:val="24"/>
                <w:szCs w:val="24"/>
                <w:highlight w:val="none"/>
                <w:shd w:val="clear" w:color="auto" w:fill="auto"/>
                <w:lang w:val="en-US" w:eastAsia="zh-CN"/>
                <w14:textFill>
                  <w14:solidFill>
                    <w14:schemeClr w14:val="tx1"/>
                  </w14:solidFill>
                </w14:textFill>
              </w:rPr>
              <w:t>,</w:t>
            </w:r>
            <w:r>
              <w:rPr>
                <w:rStyle w:val="10"/>
                <w:rFonts w:hint="eastAsia" w:ascii="仿宋" w:hAnsi="仿宋" w:eastAsia="仿宋" w:cs="仿宋"/>
                <w:i w:val="0"/>
                <w:color w:val="000000" w:themeColor="text1"/>
                <w:kern w:val="2"/>
                <w:sz w:val="24"/>
                <w:szCs w:val="24"/>
                <w:highlight w:val="none"/>
                <w:shd w:val="clear" w:color="auto" w:fill="auto"/>
                <w:lang w:val="en-US" w:eastAsia="zh-CN"/>
                <w14:textFill>
                  <w14:solidFill>
                    <w14:schemeClr w14:val="tx1"/>
                  </w14:solidFill>
                </w14:textFill>
              </w:rPr>
              <w:t>白智宏（西南大学）、</w:t>
            </w:r>
            <w:r>
              <w:rPr>
                <w:rStyle w:val="7"/>
                <w:rFonts w:hint="eastAsia" w:ascii="仿宋" w:hAnsi="仿宋" w:eastAsia="仿宋" w:cs="仿宋"/>
                <w:i w:val="0"/>
                <w:color w:val="000000" w:themeColor="text1"/>
                <w:kern w:val="0"/>
                <w:sz w:val="24"/>
                <w:szCs w:val="24"/>
                <w:highlight w:val="none"/>
                <w:shd w:val="clear" w:color="auto" w:fill="auto"/>
                <w:lang w:val="en-US" w:eastAsia="zh-CN"/>
                <w14:textFill>
                  <w14:solidFill>
                    <w14:schemeClr w14:val="tx1"/>
                  </w14:solidFill>
                </w14:textFill>
              </w:rPr>
              <w:t>邹逢兴（国防科技大学）、陆国栋（浙江大学）,孟长功（大连理工大学）,马知恩（西安交通大学）,李尚志（北京航空航天大学）、傅钢善（陕西师范大学）</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t>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4</w:t>
            </w:r>
          </w:p>
        </w:tc>
        <w:tc>
          <w:tcPr>
            <w:tcW w:w="300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left"/>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高等教育法规概论</w:t>
            </w:r>
          </w:p>
        </w:tc>
        <w:tc>
          <w:tcPr>
            <w:tcW w:w="5729" w:type="dxa"/>
            <w:tcBorders>
              <w:top w:val="nil"/>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left"/>
              <w:textAlignment w:val="baseline"/>
              <w:rPr>
                <w:rStyle w:val="7"/>
                <w:rFonts w:hint="eastAsia" w:ascii="仿宋" w:hAnsi="仿宋" w:eastAsia="仿宋" w:cs="仿宋"/>
                <w:b w:val="0"/>
                <w:bCs/>
                <w:color w:val="000000" w:themeColor="text1"/>
                <w:kern w:val="2"/>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2"/>
                <w:sz w:val="24"/>
                <w:szCs w:val="24"/>
                <w:shd w:val="clear" w:color="auto" w:fill="auto"/>
                <w:lang w:val="en-US" w:eastAsia="zh-CN" w:bidi="ar-SA"/>
                <w14:textFill>
                  <w14:solidFill>
                    <w14:schemeClr w14:val="tx1"/>
                  </w14:solidFill>
                </w14:textFill>
              </w:rPr>
              <w:t>程晋宽、张乐天（南京师范大学）、黄忠敬（华东师范大学）、查海波</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16.41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t>5</w:t>
            </w:r>
          </w:p>
        </w:tc>
        <w:tc>
          <w:tcPr>
            <w:tcW w:w="30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left"/>
              <w:textAlignment w:val="baseline"/>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highlight w:val="none"/>
                <w:shd w:val="clear" w:color="auto" w:fill="FFFFFF" w:themeFill="background1"/>
                <w:lang w:val="en-US" w:eastAsia="zh-CN" w:bidi="ar-SA"/>
                <w14:textFill>
                  <w14:solidFill>
                    <w14:schemeClr w14:val="tx1"/>
                  </w14:solidFill>
                </w14:textFill>
              </w:rPr>
              <w:t>高校教师职业道德修养</w:t>
            </w:r>
          </w:p>
        </w:tc>
        <w:tc>
          <w:tcPr>
            <w:tcW w:w="5729" w:type="dxa"/>
            <w:tcBorders>
              <w:top w:val="nil"/>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left"/>
              <w:textAlignment w:val="baseline"/>
              <w:rPr>
                <w:rStyle w:val="7"/>
                <w:rFonts w:hint="eastAsia" w:ascii="仿宋" w:hAnsi="仿宋" w:eastAsia="仿宋" w:cs="仿宋"/>
                <w:b w:val="0"/>
                <w:bCs/>
                <w:color w:val="000000" w:themeColor="text1"/>
                <w:kern w:val="2"/>
                <w:sz w:val="24"/>
                <w:szCs w:val="24"/>
                <w:highlight w:val="none"/>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t>林崇德（北京师范大学）、吴文虎（清华大学）、颜静兰、南国农（西安交通大学）、胡德海（西北师范大学）、李天凤</w:t>
            </w:r>
            <w:r>
              <w:rPr>
                <w:rStyle w:val="7"/>
                <w:rFonts w:hint="eastAsia" w:ascii="仿宋" w:hAnsi="仿宋" w:eastAsia="仿宋" w:cs="仿宋"/>
                <w:color w:val="000000" w:themeColor="text1"/>
                <w:kern w:val="2"/>
                <w:sz w:val="24"/>
                <w:szCs w:val="24"/>
                <w:highlight w:val="none"/>
                <w:shd w:val="clear" w:color="auto" w:fill="auto"/>
                <w:lang w:val="en-US" w:eastAsia="zh-CN" w:bidi="ar-SA"/>
                <w14:textFill>
                  <w14:solidFill>
                    <w14:schemeClr w14:val="tx1"/>
                  </w14:solidFill>
                </w14:textFill>
              </w:rPr>
              <w:t>（云南师范大学）</w:t>
            </w:r>
            <w:r>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t xml:space="preserve">、冯博琴（西安交通大学）、 </w:t>
            </w:r>
            <w:r>
              <w:rPr>
                <w:rStyle w:val="7"/>
                <w:rFonts w:hint="eastAsia" w:ascii="仿宋" w:hAnsi="仿宋" w:eastAsia="仿宋" w:cs="仿宋"/>
                <w:strike w:val="0"/>
                <w:dstrike w:val="0"/>
                <w:color w:val="000000" w:themeColor="text1"/>
                <w:kern w:val="0"/>
                <w:sz w:val="24"/>
                <w:szCs w:val="24"/>
                <w:highlight w:val="none"/>
                <w:shd w:val="clear" w:color="auto" w:fill="auto"/>
                <w:lang w:val="en-US" w:eastAsia="zh-CN" w:bidi="ar-SA"/>
                <w14:textFill>
                  <w14:solidFill>
                    <w14:schemeClr w14:val="tx1"/>
                  </w14:solidFill>
                </w14:textFill>
              </w:rPr>
              <w:t>余小波（湖南大学）</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t>37.98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p>
        </w:tc>
        <w:tc>
          <w:tcPr>
            <w:tcW w:w="300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left"/>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总学时</w:t>
            </w:r>
          </w:p>
        </w:tc>
        <w:tc>
          <w:tcPr>
            <w:tcW w:w="5729" w:type="dxa"/>
            <w:tcBorders>
              <w:top w:val="nil"/>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7"/>
                <w:rFonts w:hint="eastAsia" w:ascii="仿宋" w:hAnsi="仿宋" w:eastAsia="仿宋" w:cs="仿宋"/>
                <w:b w:val="0"/>
                <w:bCs/>
                <w:color w:val="000000" w:themeColor="text1"/>
                <w:kern w:val="2"/>
                <w:sz w:val="24"/>
                <w:szCs w:val="24"/>
                <w:shd w:val="clear" w:color="auto" w:fill="auto"/>
                <w:lang w:val="en-US" w:eastAsia="zh-CN" w:bidi="ar-SA"/>
                <w14:textFill>
                  <w14:solidFill>
                    <w14:schemeClr w14:val="tx1"/>
                  </w14:solidFill>
                </w14:textFill>
              </w:rPr>
            </w:pP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pPr>
            <w:r>
              <w:rPr>
                <w:rStyle w:val="7"/>
                <w:rFonts w:hint="eastAsia" w:ascii="仿宋" w:hAnsi="仿宋" w:eastAsia="仿宋" w:cs="仿宋"/>
                <w:b w:val="0"/>
                <w:bCs/>
                <w:color w:val="000000" w:themeColor="text1"/>
                <w:kern w:val="0"/>
                <w:sz w:val="24"/>
                <w:szCs w:val="24"/>
                <w:shd w:val="clear" w:color="auto" w:fill="auto"/>
                <w:lang w:val="en-US" w:eastAsia="zh-CN" w:bidi="ar-SA"/>
                <w14:textFill>
                  <w14:solidFill>
                    <w14:schemeClr w14:val="tx1"/>
                  </w14:solidFill>
                </w14:textFill>
              </w:rPr>
              <w:t>181.21</w:t>
            </w:r>
          </w:p>
        </w:tc>
      </w:tr>
    </w:tbl>
    <w:p>
      <w:pPr>
        <w:keepNext w:val="0"/>
        <w:keepLines w:val="0"/>
        <w:pageBreakBefore w:val="0"/>
        <w:widowControl/>
        <w:shd w:val="clear"/>
        <w:kinsoku/>
        <w:wordWrap/>
        <w:overflowPunct/>
        <w:topLinePunct w:val="0"/>
        <w:autoSpaceDE/>
        <w:autoSpaceDN/>
        <w:bidi w:val="0"/>
        <w:adjustRightInd/>
        <w:snapToGrid/>
        <w:spacing w:line="340" w:lineRule="exact"/>
        <w:jc w:val="both"/>
        <w:textAlignment w:val="baseline"/>
        <w:rPr>
          <w:rStyle w:val="7"/>
          <w:rFonts w:hint="eastAsia" w:ascii="仿宋" w:hAnsi="仿宋" w:eastAsia="仿宋" w:cs="仿宋"/>
          <w:color w:val="auto"/>
          <w:w w:val="90"/>
          <w:kern w:val="2"/>
          <w:sz w:val="24"/>
          <w:szCs w:val="24"/>
          <w:shd w:val="clear" w:color="auto" w:fill="auto"/>
          <w:lang w:val="en-US" w:eastAsia="zh-CN" w:bidi="ar-SA"/>
        </w:rPr>
      </w:pPr>
    </w:p>
    <w:tbl>
      <w:tblPr>
        <w:tblStyle w:val="5"/>
        <w:tblW w:w="10411"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4575"/>
        <w:gridCol w:w="4135"/>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11" w:type="dxa"/>
            <w:gridSpan w:val="4"/>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b/>
                <w:color w:val="auto"/>
                <w:kern w:val="2"/>
                <w:sz w:val="24"/>
                <w:szCs w:val="24"/>
                <w:shd w:val="clear" w:color="auto" w:fill="auto"/>
                <w:lang w:val="en-US" w:eastAsia="zh-CN" w:bidi="ar-SA"/>
              </w:rPr>
            </w:pPr>
            <w:r>
              <w:rPr>
                <w:rStyle w:val="7"/>
                <w:rFonts w:hint="eastAsia" w:ascii="仿宋" w:hAnsi="仿宋" w:eastAsia="仿宋" w:cs="仿宋"/>
                <w:b/>
                <w:color w:val="auto"/>
                <w:kern w:val="2"/>
                <w:sz w:val="24"/>
                <w:szCs w:val="24"/>
                <w:shd w:val="clear" w:color="auto" w:fill="auto"/>
                <w:lang w:val="en-US" w:eastAsia="zh-CN" w:bidi="ar-SA"/>
              </w:rPr>
              <w:t>选修课目录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411" w:type="dxa"/>
            <w:gridSpan w:val="4"/>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b/>
                <w:color w:val="auto"/>
                <w:kern w:val="2"/>
                <w:sz w:val="24"/>
                <w:szCs w:val="24"/>
                <w:shd w:val="clear" w:color="auto" w:fill="auto"/>
                <w:lang w:val="en-US" w:eastAsia="zh-CN" w:bidi="ar-SA"/>
              </w:rPr>
            </w:pPr>
            <w:r>
              <w:rPr>
                <w:rStyle w:val="7"/>
                <w:rFonts w:hint="eastAsia" w:ascii="仿宋" w:hAnsi="仿宋" w:eastAsia="仿宋" w:cs="仿宋"/>
                <w:b/>
                <w:color w:val="auto"/>
                <w:kern w:val="2"/>
                <w:sz w:val="24"/>
                <w:szCs w:val="24"/>
                <w:shd w:val="clear" w:color="auto" w:fill="auto"/>
                <w:lang w:val="en-US" w:eastAsia="zh-CN" w:bidi="ar-SA"/>
              </w:rPr>
              <w:t>一类课程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序号</w:t>
            </w:r>
          </w:p>
        </w:tc>
        <w:tc>
          <w:tcPr>
            <w:tcW w:w="457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课程名称</w:t>
            </w:r>
          </w:p>
        </w:tc>
        <w:tc>
          <w:tcPr>
            <w:tcW w:w="41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主讲教师</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时长</w:t>
            </w:r>
          </w:p>
          <w:p>
            <w:pPr>
              <w:shd w:val="clear"/>
              <w:spacing w:line="240" w:lineRule="auto"/>
              <w:jc w:val="center"/>
              <w:textAlignment w:val="baseline"/>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shd w:val="clear" w:color="auto" w:fill="auto"/>
                <w:lang w:val="en-US" w:eastAsia="zh-CN" w:bidi="ar-SA"/>
              </w:rPr>
            </w:pPr>
            <w:r>
              <w:rPr>
                <w:rStyle w:val="7"/>
                <w:rFonts w:hint="eastAsia" w:ascii="仿宋" w:hAnsi="仿宋" w:eastAsia="仿宋" w:cs="仿宋"/>
                <w:color w:val="auto"/>
                <w:kern w:val="0"/>
                <w:sz w:val="24"/>
                <w:szCs w:val="24"/>
                <w:shd w:val="clear" w:color="auto" w:fill="auto"/>
                <w:lang w:val="en-US" w:eastAsia="zh-CN" w:bidi="ar-SA"/>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u w:val="none"/>
                <w:lang w:val="en-US" w:eastAsia="zh-CN" w:bidi="ar"/>
              </w:rPr>
              <w:t>习近平总书记关于教育的重要论述引领教育强国理论与实践</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i w:val="0"/>
                <w:iCs w:val="0"/>
                <w:color w:val="auto"/>
                <w:kern w:val="0"/>
                <w:sz w:val="24"/>
                <w:szCs w:val="24"/>
                <w:u w:val="none"/>
                <w:lang w:val="en-US" w:eastAsia="zh-CN" w:bidi="ar"/>
              </w:rPr>
              <w:t>杨志成（首都师范大学）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shd w:val="clear" w:color="auto" w:fill="auto"/>
                <w:lang w:val="en-US" w:eastAsia="zh-CN" w:bidi="ar-SA"/>
              </w:rPr>
            </w:pPr>
            <w:r>
              <w:rPr>
                <w:rStyle w:val="7"/>
                <w:rFonts w:hint="eastAsia" w:ascii="仿宋" w:hAnsi="仿宋" w:eastAsia="仿宋" w:cs="仿宋"/>
                <w:color w:val="auto"/>
                <w:kern w:val="2"/>
                <w:sz w:val="24"/>
                <w:szCs w:val="24"/>
                <w:shd w:val="clear" w:color="auto" w:fill="auto"/>
                <w:lang w:val="en-US" w:eastAsia="zh-CN" w:bidi="ar-SA"/>
              </w:rPr>
              <w:t>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shd w:val="clear" w:color="auto" w:fill="auto"/>
                <w:lang w:val="en-US" w:eastAsia="zh-CN" w:bidi="ar-SA"/>
              </w:rPr>
            </w:pPr>
            <w:r>
              <w:rPr>
                <w:rStyle w:val="7"/>
                <w:rFonts w:hint="eastAsia" w:ascii="仿宋" w:hAnsi="仿宋" w:eastAsia="仿宋" w:cs="仿宋"/>
                <w:color w:val="auto"/>
                <w:kern w:val="2"/>
                <w:sz w:val="24"/>
                <w:szCs w:val="24"/>
                <w:shd w:val="clear" w:color="auto" w:fill="auto"/>
                <w:lang w:val="en-US" w:eastAsia="zh-CN" w:bidi="ar-SA"/>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0"/>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u w:val="none"/>
                <w:lang w:val="en-US" w:eastAsia="zh-CN" w:bidi="ar"/>
              </w:rPr>
              <w:t>科学谋发展，奋进“十四五”——谈谈“十四五”时期我国高等教育的历史方位和主要任务</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0"/>
                <w:sz w:val="24"/>
                <w:szCs w:val="24"/>
                <w:shd w:val="clear" w:color="auto" w:fill="auto"/>
                <w:lang w:val="en-US" w:eastAsia="zh-CN" w:bidi="ar-SA"/>
              </w:rPr>
            </w:pPr>
            <w:r>
              <w:rPr>
                <w:rFonts w:hint="eastAsia" w:ascii="仿宋" w:hAnsi="仿宋" w:eastAsia="仿宋" w:cs="仿宋"/>
                <w:i w:val="0"/>
                <w:iCs w:val="0"/>
                <w:color w:val="auto"/>
                <w:kern w:val="0"/>
                <w:sz w:val="24"/>
                <w:szCs w:val="24"/>
                <w:u w:val="none"/>
                <w:lang w:val="en-US" w:eastAsia="zh-CN" w:bidi="ar"/>
              </w:rPr>
              <w:t>瞿振元（中国高等教育协会）</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shd w:val="clear" w:color="auto" w:fill="auto"/>
                <w:lang w:val="en-US" w:eastAsia="zh-CN" w:bidi="ar-SA"/>
              </w:rPr>
            </w:pPr>
            <w:r>
              <w:rPr>
                <w:rStyle w:val="7"/>
                <w:rFonts w:hint="eastAsia" w:ascii="仿宋" w:hAnsi="仿宋" w:eastAsia="仿宋" w:cs="仿宋"/>
                <w:color w:val="auto"/>
                <w:kern w:val="2"/>
                <w:sz w:val="24"/>
                <w:szCs w:val="24"/>
                <w:shd w:val="clear" w:color="auto" w:fill="auto"/>
                <w:lang w:val="en-US" w:eastAsia="zh-CN" w:bidi="ar-SA"/>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shd w:val="clear" w:color="auto" w:fill="auto"/>
                <w:lang w:val="en-US" w:eastAsia="zh-CN" w:bidi="ar-SA"/>
              </w:rPr>
            </w:pPr>
            <w:r>
              <w:rPr>
                <w:rStyle w:val="7"/>
                <w:rFonts w:hint="eastAsia" w:ascii="仿宋" w:hAnsi="仿宋" w:eastAsia="仿宋" w:cs="仿宋"/>
                <w:color w:val="auto"/>
                <w:kern w:val="2"/>
                <w:sz w:val="24"/>
                <w:szCs w:val="24"/>
                <w:shd w:val="clear" w:color="auto" w:fill="auto"/>
                <w:lang w:val="en-US" w:eastAsia="zh-CN" w:bidi="ar-SA"/>
              </w:rPr>
              <w:t>3</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u w:val="none"/>
                <w:lang w:val="en-US" w:eastAsia="zh-CN" w:bidi="ar"/>
              </w:rPr>
              <w:t>习近平青年教育思想贯穿立德树人全过程的思考</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bCs/>
                <w:color w:val="auto"/>
                <w:kern w:val="0"/>
                <w:sz w:val="24"/>
                <w:szCs w:val="24"/>
                <w:shd w:val="clear" w:color="auto" w:fill="auto"/>
                <w:lang w:val="en-US" w:eastAsia="zh-CN" w:bidi="ar-SA"/>
              </w:rPr>
            </w:pPr>
            <w:r>
              <w:rPr>
                <w:rFonts w:hint="eastAsia" w:ascii="仿宋" w:hAnsi="仿宋" w:eastAsia="仿宋" w:cs="仿宋"/>
                <w:i w:val="0"/>
                <w:iCs w:val="0"/>
                <w:color w:val="auto"/>
                <w:kern w:val="0"/>
                <w:sz w:val="24"/>
                <w:szCs w:val="24"/>
                <w:u w:val="none"/>
                <w:lang w:val="en-US" w:eastAsia="zh-CN" w:bidi="ar"/>
              </w:rPr>
              <w:t>冯培（中共首都经济贸易大学）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shd w:val="clear" w:color="auto" w:fill="auto"/>
                <w:lang w:val="en-US" w:eastAsia="zh-CN" w:bidi="ar-SA"/>
              </w:rPr>
            </w:pPr>
            <w:r>
              <w:rPr>
                <w:rStyle w:val="7"/>
                <w:rFonts w:hint="eastAsia" w:ascii="仿宋" w:hAnsi="仿宋" w:eastAsia="仿宋" w:cs="仿宋"/>
                <w:color w:val="auto"/>
                <w:kern w:val="2"/>
                <w:sz w:val="24"/>
                <w:szCs w:val="24"/>
                <w:shd w:val="clear" w:color="auto" w:fill="auto"/>
                <w:lang w:val="en-US" w:eastAsia="zh-CN" w:bidi="ar-SA"/>
              </w:rPr>
              <w:t>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shd w:val="clear" w:color="auto" w:fill="auto"/>
                <w:lang w:val="en-US" w:eastAsia="zh-CN" w:bidi="ar-SA"/>
              </w:rPr>
            </w:pPr>
            <w:r>
              <w:rPr>
                <w:rStyle w:val="7"/>
                <w:rFonts w:hint="eastAsia" w:ascii="仿宋" w:hAnsi="仿宋" w:eastAsia="仿宋" w:cs="仿宋"/>
                <w:color w:val="auto"/>
                <w:kern w:val="2"/>
                <w:sz w:val="24"/>
                <w:szCs w:val="24"/>
                <w:shd w:val="clear" w:color="auto" w:fill="auto"/>
                <w:lang w:val="en-US" w:eastAsia="zh-CN" w:bidi="ar-SA"/>
              </w:rPr>
              <w:t>4</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Style w:val="18"/>
                <w:rFonts w:hint="eastAsia" w:ascii="仿宋" w:hAnsi="仿宋" w:eastAsia="仿宋" w:cs="仿宋"/>
                <w:color w:val="auto"/>
                <w:sz w:val="24"/>
                <w:szCs w:val="24"/>
                <w:lang w:val="en-US" w:eastAsia="zh-CN" w:bidi="ar"/>
              </w:rPr>
              <w:t>求真务本，立德树人</w:t>
            </w:r>
            <w:r>
              <w:rPr>
                <w:rStyle w:val="19"/>
                <w:rFonts w:hint="eastAsia" w:ascii="仿宋" w:hAnsi="仿宋" w:eastAsia="仿宋" w:cs="仿宋"/>
                <w:color w:val="auto"/>
                <w:sz w:val="24"/>
                <w:szCs w:val="24"/>
                <w:lang w:val="en-US" w:eastAsia="zh-CN" w:bidi="ar"/>
              </w:rPr>
              <w:t>——</w:t>
            </w:r>
            <w:r>
              <w:rPr>
                <w:rStyle w:val="18"/>
                <w:rFonts w:hint="eastAsia" w:ascii="仿宋" w:hAnsi="仿宋" w:eastAsia="仿宋" w:cs="仿宋"/>
                <w:color w:val="auto"/>
                <w:sz w:val="24"/>
                <w:szCs w:val="24"/>
                <w:lang w:val="en-US" w:eastAsia="zh-CN" w:bidi="ar"/>
              </w:rPr>
              <w:t>学习贯彻全国教育大会精神，培养具有工匠精神的职业人才</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i w:val="0"/>
                <w:iCs w:val="0"/>
                <w:color w:val="auto"/>
                <w:kern w:val="0"/>
                <w:sz w:val="24"/>
                <w:szCs w:val="24"/>
                <w:u w:val="none"/>
                <w:lang w:val="en-US" w:eastAsia="zh-CN" w:bidi="ar"/>
              </w:rPr>
              <w:t>赵开华</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shd w:val="clear" w:color="auto" w:fill="auto"/>
                <w:lang w:val="en-US" w:eastAsia="zh-CN" w:bidi="ar-SA"/>
              </w:rPr>
            </w:pPr>
            <w:r>
              <w:rPr>
                <w:rStyle w:val="7"/>
                <w:rFonts w:hint="eastAsia" w:ascii="仿宋" w:hAnsi="仿宋" w:eastAsia="仿宋" w:cs="仿宋"/>
                <w:color w:val="auto"/>
                <w:kern w:val="2"/>
                <w:sz w:val="24"/>
                <w:szCs w:val="24"/>
                <w:shd w:val="clear" w:color="auto" w:fill="auto"/>
                <w:lang w:val="en-US" w:eastAsia="zh-CN" w:bidi="ar-SA"/>
              </w:rPr>
              <w:t>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5</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不忘初心砥砺前行：深入学习习近平总书记关于新时代师德师风建设的重要论述</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曲洪波（沈阳航空航天大学）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6</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深刻领会习近平教育重要论述，全面加强新时代高校师德师风建设</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徐永利（北京联合大学）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7</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新媒体与舆情管理——从习近平总书记网络强国战略思想讲起</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田丽（北京大学）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8</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习近平新时代中国特色社会主义思想导学</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周文彰（国家行政学院）</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9</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中国梦 教育梦 教师梦</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冯宋彻（中国传媒大学）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center"/>
              <w:textAlignment w:val="baseline"/>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怎样成长为一名优秀的大学教师</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马知恩 （西安交通大学）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11</w:t>
            </w:r>
          </w:p>
        </w:tc>
        <w:tc>
          <w:tcPr>
            <w:tcW w:w="457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深入学习习近平总书记关于教育的重要论述</w:t>
            </w:r>
          </w:p>
        </w:tc>
        <w:tc>
          <w:tcPr>
            <w:tcW w:w="41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石中英（清华大学）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p>
        </w:tc>
        <w:tc>
          <w:tcPr>
            <w:tcW w:w="457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一类选修学时</w:t>
            </w:r>
          </w:p>
        </w:tc>
        <w:tc>
          <w:tcPr>
            <w:tcW w:w="41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411" w:type="dxa"/>
            <w:gridSpan w:val="4"/>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b/>
                <w:bCs/>
                <w:color w:val="auto"/>
                <w:kern w:val="2"/>
                <w:sz w:val="24"/>
                <w:szCs w:val="24"/>
                <w:highlight w:val="none"/>
                <w:shd w:val="clear" w:color="auto" w:fill="auto"/>
                <w:lang w:val="en-US" w:eastAsia="zh-CN" w:bidi="ar-SA"/>
              </w:rPr>
              <w:t>二类课程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b w:val="0"/>
                <w:bCs/>
                <w:color w:val="auto"/>
                <w:kern w:val="2"/>
                <w:sz w:val="24"/>
                <w:szCs w:val="24"/>
                <w:highlight w:val="none"/>
                <w:shd w:val="clear" w:color="auto" w:fill="auto"/>
                <w:lang w:val="en-US" w:eastAsia="zh-CN" w:bidi="ar-SA"/>
              </w:rPr>
            </w:pPr>
            <w:r>
              <w:rPr>
                <w:rStyle w:val="7"/>
                <w:rFonts w:hint="eastAsia" w:ascii="仿宋" w:hAnsi="仿宋" w:eastAsia="仿宋" w:cs="仿宋"/>
                <w:b w:val="0"/>
                <w:bCs/>
                <w:color w:val="auto"/>
                <w:kern w:val="2"/>
                <w:sz w:val="24"/>
                <w:szCs w:val="24"/>
                <w:highlight w:val="none"/>
                <w:shd w:val="clear" w:color="auto" w:fill="auto"/>
                <w:lang w:val="en-US" w:eastAsia="zh-CN" w:bidi="ar-SA"/>
              </w:rPr>
              <w:t>序号</w:t>
            </w:r>
          </w:p>
        </w:tc>
        <w:tc>
          <w:tcPr>
            <w:tcW w:w="457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b w:val="0"/>
                <w:bCs/>
                <w:color w:val="auto"/>
                <w:kern w:val="2"/>
                <w:sz w:val="24"/>
                <w:szCs w:val="24"/>
                <w:highlight w:val="none"/>
                <w:shd w:val="clear" w:color="auto" w:fill="auto"/>
                <w:lang w:val="en-US" w:eastAsia="zh-CN" w:bidi="ar-SA"/>
              </w:rPr>
            </w:pPr>
            <w:r>
              <w:rPr>
                <w:rStyle w:val="7"/>
                <w:rFonts w:hint="eastAsia" w:ascii="仿宋" w:hAnsi="仿宋" w:eastAsia="仿宋" w:cs="仿宋"/>
                <w:b w:val="0"/>
                <w:bCs/>
                <w:color w:val="auto"/>
                <w:kern w:val="2"/>
                <w:sz w:val="24"/>
                <w:szCs w:val="24"/>
                <w:highlight w:val="none"/>
                <w:shd w:val="clear" w:color="auto" w:fill="auto"/>
                <w:lang w:val="en-US" w:eastAsia="zh-CN" w:bidi="ar-SA"/>
              </w:rPr>
              <w:t>课程名称</w:t>
            </w:r>
          </w:p>
        </w:tc>
        <w:tc>
          <w:tcPr>
            <w:tcW w:w="41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b w:val="0"/>
                <w:bCs/>
                <w:color w:val="auto"/>
                <w:kern w:val="2"/>
                <w:sz w:val="24"/>
                <w:szCs w:val="24"/>
                <w:highlight w:val="none"/>
                <w:shd w:val="clear" w:color="auto" w:fill="auto"/>
                <w:lang w:val="en-US" w:eastAsia="zh-CN" w:bidi="ar-SA"/>
              </w:rPr>
            </w:pPr>
            <w:r>
              <w:rPr>
                <w:rStyle w:val="7"/>
                <w:rFonts w:hint="eastAsia" w:ascii="仿宋" w:hAnsi="仿宋" w:eastAsia="仿宋" w:cs="仿宋"/>
                <w:b w:val="0"/>
                <w:bCs/>
                <w:color w:val="auto"/>
                <w:kern w:val="2"/>
                <w:sz w:val="24"/>
                <w:szCs w:val="24"/>
                <w:highlight w:val="none"/>
                <w:shd w:val="clear" w:color="auto" w:fill="auto"/>
                <w:lang w:val="en-US" w:eastAsia="zh-CN" w:bidi="ar-SA"/>
              </w:rPr>
              <w:t>主讲教师</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b w:val="0"/>
                <w:bCs/>
                <w:color w:val="auto"/>
                <w:kern w:val="2"/>
                <w:sz w:val="24"/>
                <w:szCs w:val="24"/>
                <w:highlight w:val="none"/>
                <w:shd w:val="clear" w:color="auto" w:fill="auto"/>
                <w:lang w:val="en-US" w:eastAsia="zh-CN" w:bidi="ar-SA"/>
              </w:rPr>
            </w:pPr>
            <w:r>
              <w:rPr>
                <w:rStyle w:val="7"/>
                <w:rFonts w:hint="eastAsia" w:ascii="仿宋" w:hAnsi="仿宋" w:eastAsia="仿宋" w:cs="仿宋"/>
                <w:b w:val="0"/>
                <w:bCs/>
                <w:color w:val="auto"/>
                <w:kern w:val="2"/>
                <w:sz w:val="24"/>
                <w:szCs w:val="24"/>
                <w:highlight w:val="none"/>
                <w:shd w:val="clear" w:color="auto" w:fill="auto"/>
                <w:lang w:val="en-US" w:eastAsia="zh-CN" w:bidi="ar-SA"/>
              </w:rPr>
              <w:t>时长</w:t>
            </w:r>
          </w:p>
          <w:p>
            <w:pPr>
              <w:shd w:val="clear"/>
              <w:spacing w:line="240" w:lineRule="auto"/>
              <w:jc w:val="center"/>
              <w:textAlignment w:val="baseline"/>
              <w:rPr>
                <w:rFonts w:hint="eastAsia" w:ascii="仿宋" w:hAnsi="仿宋" w:eastAsia="仿宋" w:cs="仿宋"/>
                <w:b w:val="0"/>
                <w:bCs/>
                <w:color w:val="auto"/>
                <w:kern w:val="2"/>
                <w:sz w:val="24"/>
                <w:szCs w:val="24"/>
                <w:highlight w:val="none"/>
                <w:shd w:val="clear" w:color="auto" w:fill="auto"/>
                <w:lang w:val="en-US" w:eastAsia="zh-CN" w:bidi="ar-SA"/>
              </w:rPr>
            </w:pPr>
            <w:r>
              <w:rPr>
                <w:rStyle w:val="7"/>
                <w:rFonts w:hint="eastAsia" w:ascii="仿宋" w:hAnsi="仿宋" w:eastAsia="仿宋" w:cs="仿宋"/>
                <w:b w:val="0"/>
                <w:bCs/>
                <w:color w:val="auto"/>
                <w:kern w:val="2"/>
                <w:sz w:val="24"/>
                <w:szCs w:val="24"/>
                <w:highlight w:val="none"/>
                <w:shd w:val="clear" w:color="auto" w:fill="auto"/>
                <w:lang w:val="en-US" w:eastAsia="zh-CN" w:bidi="ar-SA"/>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教师的角色定位与师德师风</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鲍善冰（山西大学）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做幸福而自信的“四有”教师</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寇彧（北京师范大学）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课程思政的教学设计与实施</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张智强（上海中医药大学）、蔡巧玲、朱月龙（河北师范大学）、陈峻（东南大学）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4</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高校课程思政建设的实施路径——《高等学校课程思政建设指导纲要》解读</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张智强（上海中医药大学）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5</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课程思政与优质课程建设</w:t>
            </w:r>
            <w:r>
              <w:rPr>
                <w:rStyle w:val="20"/>
                <w:rFonts w:hint="eastAsia" w:ascii="仿宋" w:hAnsi="仿宋" w:eastAsia="仿宋" w:cs="仿宋"/>
                <w:color w:val="auto"/>
                <w:sz w:val="24"/>
                <w:szCs w:val="24"/>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如何打造课程思政线上线下精品课</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张黎声（上海中医药大学）、于歆杰（清华大学）、魏琳（西安交通大学）、胡国胜（华南师范大学）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6</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改革开放以来我国高等教育政策法规建设的回顾与反思</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张乐天（南京师范大学）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7</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大数据视角下的教学范式创新</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周华丽（北京联合大学）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8</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人工智能在课堂革命中的应用</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杨东杰（华南理工大学）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9</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OBE（成果导向教育）教育教学理念与实施</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郭江峰（浙江理工大学）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0"/>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10</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互联网+创新创业教育的教学实践和案例</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李华晶（北京林业大学）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高校青年教师如何提高创新创业能力</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谷贤林（北京师范大学）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人工智能的启示与智慧教育的愿景</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周傲英（华东师范大学）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13</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学术诚信与学术规范</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岳云强（中国人民大学）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14</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Style w:val="21"/>
                <w:rFonts w:hint="eastAsia" w:ascii="仿宋" w:hAnsi="仿宋" w:eastAsia="仿宋" w:cs="仿宋"/>
                <w:color w:val="auto"/>
                <w:sz w:val="24"/>
                <w:szCs w:val="24"/>
                <w:highlight w:val="none"/>
                <w:lang w:val="en-US" w:eastAsia="zh-CN" w:bidi="ar"/>
              </w:rPr>
              <w:t>回归课堂，以研促教</w:t>
            </w:r>
            <w:r>
              <w:rPr>
                <w:rStyle w:val="22"/>
                <w:rFonts w:hint="eastAsia" w:ascii="仿宋" w:hAnsi="仿宋" w:eastAsia="仿宋" w:cs="仿宋"/>
                <w:color w:val="auto"/>
                <w:sz w:val="24"/>
                <w:szCs w:val="24"/>
                <w:highlight w:val="none"/>
                <w:lang w:val="en-US" w:eastAsia="zh-CN" w:bidi="ar"/>
              </w:rPr>
              <w:t>——</w:t>
            </w:r>
            <w:r>
              <w:rPr>
                <w:rStyle w:val="21"/>
                <w:rFonts w:hint="eastAsia" w:ascii="仿宋" w:hAnsi="仿宋" w:eastAsia="仿宋" w:cs="仿宋"/>
                <w:color w:val="auto"/>
                <w:sz w:val="24"/>
                <w:szCs w:val="24"/>
                <w:highlight w:val="none"/>
                <w:lang w:val="en-US" w:eastAsia="zh-CN" w:bidi="ar"/>
              </w:rPr>
              <w:t>高校教师教学学术能力提升</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张树永（山东大学）、田凌晖（复旦大学）、高琪、李兴洲（北京师范大学）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15</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青年教师教学方法专题（理工）</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龚沛曾（同济大学）、马知恩（西安交通大学）、李芒（北京师范大学）等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16</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青年教师教学方法专题（文科）</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张征（中国人民大学）、张红峻（北京理工大学）、李芒（北京师范大学）等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17</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青年教师成长系列——高校青年教师素质培养与教学能力提升</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李尚志（北京航空航天大学）、姚小玲（北京航空航天大学）、刘宝存（北京师范大学）等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18</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高校新进教师素质培养与教学能力提升（理工）</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张慕葏（清华大学）、姚小玲（北京航空航天大学）、熊永红（华中科技大学）等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19</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高校新进教师素质培养与教学能力提升（文科）</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张慕葏（清华大学）、姚小玲（北京航空航天大学）、郑寅达（华东师范大学）等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20</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高校教师多媒体课件制作技能提升</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裴纯礼（北京师范大学）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Style w:val="24"/>
                <w:rFonts w:hint="eastAsia" w:ascii="仿宋" w:hAnsi="仿宋" w:eastAsia="仿宋" w:cs="仿宋"/>
                <w:color w:val="auto"/>
                <w:sz w:val="24"/>
                <w:szCs w:val="24"/>
                <w:highlight w:val="none"/>
                <w:lang w:val="en-US" w:eastAsia="zh-CN" w:bidi="ar"/>
              </w:rPr>
              <w:t>教师嗓音训练及保健</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彭莉佳（星海音乐学院）</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教师素养与形象管理</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w w:val="100"/>
                <w:kern w:val="0"/>
                <w:sz w:val="24"/>
                <w:szCs w:val="24"/>
                <w:highlight w:val="none"/>
                <w:u w:val="none"/>
                <w:lang w:val="en-US" w:eastAsia="zh-CN" w:bidi="ar"/>
              </w:rPr>
              <w:t>张奇伟（北京师范大学）、刘庆龙（清华大学）等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23</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教学名师从教经验谈系列：大学教师从哪里起步（文）</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李霄翔（东南大学）、张征（人民大学）、曹顺庆</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24</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教学名师从教经验谈系列：大学教师从哪里起步（理工）</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冯博琴（西安交通大学）、王金发（中山大学）、朱士信（合肥工业大学）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25</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当代高校教师的职业素养和专业成长</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李天凤（云南师范大学）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26</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高校青年教师的时间管理与压力纾解</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刘破资（清华大学）、蔺桂瑞（首都师范大学）、国智丹（中山大学）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27</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慕课制作之课程设计</w:t>
            </w:r>
          </w:p>
        </w:tc>
        <w:tc>
          <w:tcPr>
            <w:tcW w:w="4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7"/>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徐明星（中国人民大学）、师雪霖（清华大学）、梁君健（清华大学）等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28</w:t>
            </w:r>
          </w:p>
        </w:tc>
        <w:tc>
          <w:tcPr>
            <w:tcW w:w="4575"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7"/>
                <w:rFonts w:hint="eastAsia" w:ascii="仿宋" w:hAnsi="仿宋" w:eastAsia="仿宋" w:cs="仿宋"/>
                <w:i w:val="0"/>
                <w:color w:val="auto"/>
                <w:kern w:val="0"/>
                <w:sz w:val="24"/>
                <w:szCs w:val="24"/>
                <w:highlight w:val="none"/>
                <w:shd w:val="clear" w:color="auto" w:fill="auto"/>
                <w:lang w:val="en-US" w:eastAsia="zh-CN"/>
              </w:rPr>
            </w:pPr>
            <w:r>
              <w:rPr>
                <w:rStyle w:val="7"/>
                <w:rFonts w:hint="eastAsia" w:ascii="仿宋" w:hAnsi="仿宋" w:eastAsia="仿宋" w:cs="仿宋"/>
                <w:i w:val="0"/>
                <w:color w:val="auto"/>
                <w:kern w:val="0"/>
                <w:sz w:val="24"/>
                <w:szCs w:val="24"/>
                <w:highlight w:val="none"/>
                <w:shd w:val="clear" w:color="auto" w:fill="auto"/>
                <w:lang w:val="en-US" w:eastAsia="zh-CN"/>
              </w:rPr>
              <w:t>数字化教育新形态：基于AI技术的教育教学实践</w:t>
            </w:r>
          </w:p>
        </w:tc>
        <w:tc>
          <w:tcPr>
            <w:tcW w:w="4135"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7"/>
                <w:rFonts w:hint="eastAsia" w:ascii="仿宋" w:hAnsi="仿宋" w:eastAsia="仿宋" w:cs="仿宋"/>
                <w:i w:val="0"/>
                <w:color w:val="auto"/>
                <w:kern w:val="0"/>
                <w:sz w:val="24"/>
                <w:szCs w:val="24"/>
                <w:highlight w:val="none"/>
                <w:shd w:val="clear" w:color="auto" w:fill="auto"/>
                <w:lang w:val="en-US" w:eastAsia="zh-CN"/>
              </w:rPr>
            </w:pPr>
            <w:r>
              <w:rPr>
                <w:rStyle w:val="7"/>
                <w:rFonts w:hint="eastAsia" w:ascii="仿宋" w:hAnsi="仿宋" w:eastAsia="仿宋" w:cs="仿宋"/>
                <w:i w:val="0"/>
                <w:color w:val="auto"/>
                <w:kern w:val="0"/>
                <w:sz w:val="24"/>
                <w:szCs w:val="24"/>
                <w:highlight w:val="none"/>
                <w:shd w:val="clear" w:color="auto" w:fill="auto"/>
                <w:lang w:val="en-US" w:eastAsia="zh-CN"/>
              </w:rPr>
              <w:t>黄昌勤（浙江师范大学）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bottom"/>
              <w:rPr>
                <w:rStyle w:val="7"/>
                <w:rFonts w:hint="eastAsia" w:ascii="仿宋" w:hAnsi="仿宋" w:eastAsia="仿宋" w:cs="仿宋"/>
                <w:i w:val="0"/>
                <w:color w:val="auto"/>
                <w:kern w:val="0"/>
                <w:sz w:val="24"/>
                <w:szCs w:val="24"/>
                <w:highlight w:val="none"/>
                <w:shd w:val="clear" w:color="auto" w:fill="auto"/>
                <w:lang w:val="en-US" w:eastAsia="zh-CN"/>
              </w:rPr>
            </w:pPr>
            <w:r>
              <w:rPr>
                <w:rStyle w:val="7"/>
                <w:rFonts w:hint="eastAsia" w:ascii="仿宋" w:hAnsi="仿宋" w:eastAsia="仿宋" w:cs="仿宋"/>
                <w:i w:val="0"/>
                <w:color w:val="auto"/>
                <w:kern w:val="0"/>
                <w:sz w:val="24"/>
                <w:szCs w:val="24"/>
                <w:highlight w:val="none"/>
                <w:shd w:val="clear" w:color="auto" w:fill="auto"/>
                <w:lang w:val="en-US" w:eastAsia="zh-CN"/>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p>
        </w:tc>
        <w:tc>
          <w:tcPr>
            <w:tcW w:w="4575"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Fonts w:hint="eastAsia" w:ascii="仿宋" w:hAnsi="仿宋" w:eastAsia="仿宋" w:cs="仿宋"/>
                <w:i w:val="0"/>
                <w:color w:val="auto"/>
                <w:kern w:val="0"/>
                <w:sz w:val="24"/>
                <w:szCs w:val="24"/>
                <w:highlight w:val="none"/>
                <w:shd w:val="clear" w:color="auto" w:fill="auto"/>
                <w:lang w:val="en-US" w:eastAsia="zh-CN" w:bidi="ar-SA"/>
              </w:rPr>
            </w:pPr>
            <w:r>
              <w:rPr>
                <w:rStyle w:val="7"/>
                <w:rFonts w:hint="eastAsia" w:ascii="仿宋" w:hAnsi="仿宋" w:eastAsia="仿宋" w:cs="仿宋"/>
                <w:i w:val="0"/>
                <w:color w:val="auto"/>
                <w:kern w:val="0"/>
                <w:sz w:val="24"/>
                <w:szCs w:val="24"/>
                <w:highlight w:val="none"/>
                <w:shd w:val="clear" w:color="auto" w:fill="auto"/>
                <w:lang w:val="en-US" w:eastAsia="zh-CN"/>
              </w:rPr>
              <w:t>二类选修学时</w:t>
            </w:r>
          </w:p>
        </w:tc>
        <w:tc>
          <w:tcPr>
            <w:tcW w:w="41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199.26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p>
        </w:tc>
        <w:tc>
          <w:tcPr>
            <w:tcW w:w="457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选修课程总学时</w:t>
            </w:r>
          </w:p>
        </w:tc>
        <w:tc>
          <w:tcPr>
            <w:tcW w:w="413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7"/>
                <w:rFonts w:hint="eastAsia" w:ascii="仿宋" w:hAnsi="仿宋" w:eastAsia="仿宋" w:cs="仿宋"/>
                <w:color w:val="auto"/>
                <w:kern w:val="2"/>
                <w:sz w:val="24"/>
                <w:szCs w:val="24"/>
                <w:highlight w:val="none"/>
                <w:shd w:val="clear" w:color="auto" w:fill="auto"/>
                <w:lang w:val="en-US" w:eastAsia="zh-CN" w:bidi="ar-SA"/>
              </w:rPr>
            </w:pPr>
            <w:r>
              <w:rPr>
                <w:rStyle w:val="7"/>
                <w:rFonts w:hint="eastAsia" w:ascii="仿宋" w:hAnsi="仿宋" w:eastAsia="仿宋" w:cs="仿宋"/>
                <w:color w:val="auto"/>
                <w:kern w:val="2"/>
                <w:sz w:val="24"/>
                <w:szCs w:val="24"/>
                <w:highlight w:val="none"/>
                <w:shd w:val="clear" w:color="auto" w:fill="auto"/>
                <w:lang w:val="en-US" w:eastAsia="zh-CN" w:bidi="ar-SA"/>
              </w:rPr>
              <w:t>233.43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2.教学大纲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参照原国家教委制定的《高等学校教师岗前培训教学指导纲要》执行。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（二）“校本”培训部分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校本培训为高等学校教师教育教学能力提升的重要环节，各高校师资管理部门应根据学校实际情况组织实施校本培训，培训内容包括校史校情、校规专题、教育与教学评价及教师职业能力教学实践培训等。校本培训成绩不合格，不予颁发《黑龙江省高等学校教师岗前培训合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五、培训时间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2024年岗前培训定于2024年7月1日至2024年8月20日进行，具体时间、日程安排及报名事宜见《关于做好2024年黑龙江省高等学校教师岗前培训工作的通知》。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六、培训管理和要求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各高校要高度重视此项工作，由分管校领导总体负责，学校师资培训部门具体组织实施，选派工作作风严谨、认真负责、有较强管理工作经验的同志具体负责培训工作。培训各环节的工作要采取有效措施、精心组织、科学管理、确保教学质量和培训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2.各高等学校要认真做好“校本”培训部分的组织管理工作，并结合本校实际制定切实可行的实施方案，切实保证“校本”培训质量。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3.切实加强培训过程的管理工作，各高校要跟踪与监控教师学习情况，做好指导与服务，确保教师完成学习任务。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4.严格考试和考核制度，坚决防止和杜绝考核过程中的弄虚作假和考试中的舞弊现象，纠正各种不正之风，确保岗前培训工作的严肃性和实效性。对考试违纪人员下一年度不允许报考，并通报所在学校。对考试不合格或“校本”培训考核不合格的教师，均须重新修读相关课程，经考核认定，成绩合格后颁发《黑龙江省高等学校教师岗前培训合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5.建立评估检查和考核机制，省高校师资培训中心将定期组织有关人员对高校教师岗前培训工作实施情况进行评估检查。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七、考核与结业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学员完成不少于80学时的必修课程和不少于20学时的选修课程后，方可参加考试。必修课中《高等教育学》修读学时不少于20学时，《高等教育心理学》修读学时不少于20学时，《高等学校教师教育教学能力》修读学时不少于20学时，《高等教育法规概论》修读学时不少于10学时，《高校教师职业道德修养》修读学时不少于10学时。选修课不少于20学时。为强化高校教师的思想政治素质，切实提高新入职教师的师德修养，选修课目录中的一类课程要求不少于10学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免修学员，非免修必修科目《高等教育法规概论》修读学时不少于10学时，《高校教师职业道德修养》修读学时不少于10学时。选修课需完成不少于20学时，其中选修课目录中的一类课程要求不少于10学时，方可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3.补考学员，需完成补考科目学时要求，方可参加考试。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4.“校本”培训部分由教师所在学校组织考核，按合格、不合格两个档次进行总体评价。本项工作由参训教师所在学校师资管理部门统一组织实施，并于2024年8月31日前，将本校参训教师考核结果电子版报送至黑龙江省高校师资培训中心邮箱hljgspxzx@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岗前培训成绩合格者颁发经省教育厅验印的《黑龙江省高等学校教师岗前培训合格证书》，该证书为教师上岗、转正、定职、晋升职称及申请高等学校教师资格证书的必备条件和主要依据。获得该证书人员在申请高等学校教师资格证时可免修、免考笔试科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为加强对2024年全省高校教师岗前培训工作的组织领导，成立岗前培训工作领导小组，领导小组下设办公室，负责日常工作。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组  长：</w:t>
      </w:r>
      <w:r>
        <w:rPr>
          <w:rFonts w:hint="eastAsia" w:ascii="Times New Roman" w:hAnsi="Times New Roman" w:eastAsia="仿宋_GB2312" w:cs="Times New Roman"/>
          <w:b w:val="0"/>
          <w:bCs w:val="0"/>
          <w:kern w:val="2"/>
          <w:sz w:val="32"/>
          <w:szCs w:val="32"/>
          <w:lang w:val="en-US" w:eastAsia="zh-CN" w:bidi="ar-SA"/>
        </w:rPr>
        <w:t>姜同河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副组长：</w:t>
      </w:r>
      <w:r>
        <w:rPr>
          <w:rFonts w:hint="eastAsia" w:ascii="Times New Roman" w:hAnsi="Times New Roman" w:eastAsia="仿宋_GB2312" w:cs="Times New Roman"/>
          <w:b w:val="0"/>
          <w:bCs w:val="0"/>
          <w:kern w:val="2"/>
          <w:sz w:val="32"/>
          <w:szCs w:val="32"/>
          <w:lang w:val="en-US" w:eastAsia="zh-CN" w:bidi="ar-SA"/>
        </w:rPr>
        <w:t>马明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成  员：</w:t>
      </w:r>
      <w:r>
        <w:rPr>
          <w:rFonts w:hint="eastAsia" w:ascii="Times New Roman" w:hAnsi="Times New Roman" w:eastAsia="仿宋_GB2312" w:cs="Times New Roman"/>
          <w:b w:val="0"/>
          <w:bCs w:val="0"/>
          <w:kern w:val="2"/>
          <w:sz w:val="32"/>
          <w:szCs w:val="32"/>
          <w:lang w:val="en-US" w:eastAsia="zh-CN" w:bidi="ar-SA"/>
        </w:rPr>
        <w:t>马旭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梁大战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各高校师资培训职能部门负责人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主  任：</w:t>
      </w:r>
      <w:r>
        <w:rPr>
          <w:rFonts w:hint="eastAsia" w:ascii="Times New Roman" w:hAnsi="Times New Roman" w:eastAsia="仿宋_GB2312" w:cs="Times New Roman"/>
          <w:b w:val="0"/>
          <w:bCs w:val="0"/>
          <w:kern w:val="2"/>
          <w:sz w:val="32"/>
          <w:szCs w:val="32"/>
          <w:lang w:val="en-US" w:eastAsia="zh-CN" w:bidi="ar-SA"/>
        </w:rPr>
        <w:t>石航宇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董晓航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成  员：</w:t>
      </w:r>
      <w:r>
        <w:rPr>
          <w:rFonts w:hint="eastAsia" w:ascii="Times New Roman" w:hAnsi="Times New Roman" w:eastAsia="仿宋_GB2312" w:cs="Times New Roman"/>
          <w:b w:val="0"/>
          <w:bCs w:val="0"/>
          <w:kern w:val="2"/>
          <w:sz w:val="32"/>
          <w:szCs w:val="32"/>
          <w:lang w:val="en-US" w:eastAsia="zh-CN" w:bidi="ar-SA"/>
        </w:rPr>
        <w:t>各高校师资培训职能部门工作人员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                                黑龙江省高校师资培训中心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                            2024年6月3日</w:t>
      </w:r>
    </w:p>
    <w:sectPr>
      <w:pgSz w:w="11906" w:h="16838"/>
      <w:pgMar w:top="1020" w:right="1020" w:bottom="1020" w:left="102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YWM2MTU1MmQ3YjFjNDFjZGQ3MTY2YWNhYmUxNjEifQ=="/>
  </w:docVars>
  <w:rsids>
    <w:rsidRoot w:val="00000000"/>
    <w:rsid w:val="002154DB"/>
    <w:rsid w:val="01A71AD1"/>
    <w:rsid w:val="03E13A92"/>
    <w:rsid w:val="08D53F7E"/>
    <w:rsid w:val="09626456"/>
    <w:rsid w:val="09F050B9"/>
    <w:rsid w:val="0B89326F"/>
    <w:rsid w:val="0D244E26"/>
    <w:rsid w:val="0D4B3C19"/>
    <w:rsid w:val="0EE267F0"/>
    <w:rsid w:val="14FB4DFE"/>
    <w:rsid w:val="178D731C"/>
    <w:rsid w:val="18C22FF0"/>
    <w:rsid w:val="194E3822"/>
    <w:rsid w:val="1B5A5081"/>
    <w:rsid w:val="1BFA1F7C"/>
    <w:rsid w:val="1D591813"/>
    <w:rsid w:val="1DFE0B33"/>
    <w:rsid w:val="22C708FF"/>
    <w:rsid w:val="254A065D"/>
    <w:rsid w:val="274F56B6"/>
    <w:rsid w:val="2B964AF3"/>
    <w:rsid w:val="2C54029F"/>
    <w:rsid w:val="2DB37DA8"/>
    <w:rsid w:val="2DE30932"/>
    <w:rsid w:val="34D12178"/>
    <w:rsid w:val="36A24274"/>
    <w:rsid w:val="38632DEE"/>
    <w:rsid w:val="391A3F7F"/>
    <w:rsid w:val="3E467EA9"/>
    <w:rsid w:val="456E4B24"/>
    <w:rsid w:val="45BB5601"/>
    <w:rsid w:val="47DF4017"/>
    <w:rsid w:val="47E95C8E"/>
    <w:rsid w:val="4A9735BA"/>
    <w:rsid w:val="4BE81378"/>
    <w:rsid w:val="4FBC187D"/>
    <w:rsid w:val="4FE41896"/>
    <w:rsid w:val="52A84851"/>
    <w:rsid w:val="533351A2"/>
    <w:rsid w:val="54C151FC"/>
    <w:rsid w:val="58CF0E6A"/>
    <w:rsid w:val="58E23954"/>
    <w:rsid w:val="598E5CDE"/>
    <w:rsid w:val="5BF753CA"/>
    <w:rsid w:val="5E9326CA"/>
    <w:rsid w:val="60A32AE1"/>
    <w:rsid w:val="64963A9A"/>
    <w:rsid w:val="66675A77"/>
    <w:rsid w:val="66F85FC8"/>
    <w:rsid w:val="67D36AA3"/>
    <w:rsid w:val="684E3DC9"/>
    <w:rsid w:val="6BE6685C"/>
    <w:rsid w:val="6C0A7A50"/>
    <w:rsid w:val="6E7733DC"/>
    <w:rsid w:val="700A29BE"/>
    <w:rsid w:val="72F81E42"/>
    <w:rsid w:val="750A5337"/>
    <w:rsid w:val="7DA45719"/>
    <w:rsid w:val="7DCD113D"/>
    <w:rsid w:val="7EF87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bidi="ar-SA"/>
    </w:rPr>
  </w:style>
  <w:style w:type="paragraph" w:styleId="3">
    <w:name w:val="List"/>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PageNumber"/>
    <w:basedOn w:val="7"/>
    <w:link w:val="1"/>
    <w:qFormat/>
    <w:uiPriority w:val="0"/>
  </w:style>
  <w:style w:type="character" w:customStyle="1" w:styleId="10">
    <w:name w:val="UserStyle_0"/>
    <w:basedOn w:val="7"/>
    <w:link w:val="1"/>
    <w:qFormat/>
    <w:uiPriority w:val="0"/>
    <w:rPr>
      <w:rFonts w:ascii="宋体" w:hAnsi="宋体" w:eastAsia="宋体"/>
      <w:color w:val="FF0000"/>
      <w:sz w:val="20"/>
      <w:szCs w:val="20"/>
    </w:rPr>
  </w:style>
  <w:style w:type="character" w:customStyle="1" w:styleId="11">
    <w:name w:val="UserStyle_1"/>
    <w:basedOn w:val="7"/>
    <w:link w:val="1"/>
    <w:qFormat/>
    <w:uiPriority w:val="0"/>
    <w:rPr>
      <w:rFonts w:ascii="Arial" w:hAnsi="Arial"/>
      <w:color w:val="FF0000"/>
      <w:sz w:val="20"/>
      <w:szCs w:val="20"/>
    </w:rPr>
  </w:style>
  <w:style w:type="character" w:customStyle="1" w:styleId="12">
    <w:name w:val="UserStyle_2"/>
    <w:basedOn w:val="7"/>
    <w:link w:val="1"/>
    <w:qFormat/>
    <w:uiPriority w:val="0"/>
    <w:rPr>
      <w:rFonts w:ascii="宋体" w:hAnsi="宋体" w:eastAsia="宋体"/>
      <w:color w:val="1F4E78"/>
      <w:sz w:val="20"/>
      <w:szCs w:val="20"/>
    </w:rPr>
  </w:style>
  <w:style w:type="character" w:customStyle="1" w:styleId="13">
    <w:name w:val="UserStyle_3"/>
    <w:basedOn w:val="7"/>
    <w:link w:val="1"/>
    <w:qFormat/>
    <w:uiPriority w:val="0"/>
    <w:rPr>
      <w:rFonts w:ascii="Arial" w:hAnsi="Arial"/>
      <w:color w:val="1F4E78"/>
      <w:sz w:val="20"/>
      <w:szCs w:val="20"/>
    </w:rPr>
  </w:style>
  <w:style w:type="paragraph" w:customStyle="1" w:styleId="14">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15">
    <w:name w:val="Acetate"/>
    <w:basedOn w:val="1"/>
    <w:semiHidden/>
    <w:qFormat/>
    <w:uiPriority w:val="0"/>
    <w:pPr>
      <w:jc w:val="both"/>
      <w:textAlignment w:val="baseline"/>
    </w:pPr>
    <w:rPr>
      <w:rFonts w:eastAsia="宋体"/>
      <w:kern w:val="2"/>
      <w:sz w:val="18"/>
      <w:szCs w:val="18"/>
      <w:lang w:val="en-US" w:eastAsia="zh-CN" w:bidi="ar-SA"/>
    </w:rPr>
  </w:style>
  <w:style w:type="paragraph" w:customStyle="1" w:styleId="16">
    <w:name w:val="UserStyle_4"/>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table" w:customStyle="1" w:styleId="17">
    <w:name w:val="TableGrid"/>
    <w:basedOn w:val="8"/>
    <w:qFormat/>
    <w:uiPriority w:val="0"/>
  </w:style>
  <w:style w:type="character" w:customStyle="1" w:styleId="18">
    <w:name w:val="font01"/>
    <w:basedOn w:val="6"/>
    <w:qFormat/>
    <w:uiPriority w:val="0"/>
    <w:rPr>
      <w:rFonts w:hint="eastAsia" w:ascii="宋体" w:hAnsi="宋体" w:eastAsia="宋体" w:cs="宋体"/>
      <w:color w:val="000000"/>
      <w:sz w:val="21"/>
      <w:szCs w:val="21"/>
      <w:u w:val="none"/>
    </w:rPr>
  </w:style>
  <w:style w:type="character" w:customStyle="1" w:styleId="19">
    <w:name w:val="font51"/>
    <w:basedOn w:val="6"/>
    <w:qFormat/>
    <w:uiPriority w:val="0"/>
    <w:rPr>
      <w:rFonts w:hint="default" w:ascii="Times New Roman" w:hAnsi="Times New Roman" w:cs="Times New Roman"/>
      <w:color w:val="000000"/>
      <w:sz w:val="21"/>
      <w:szCs w:val="21"/>
      <w:u w:val="none"/>
    </w:rPr>
  </w:style>
  <w:style w:type="character" w:customStyle="1" w:styleId="20">
    <w:name w:val="font61"/>
    <w:basedOn w:val="6"/>
    <w:qFormat/>
    <w:uiPriority w:val="0"/>
    <w:rPr>
      <w:rFonts w:hint="default" w:ascii="Times New Roman" w:hAnsi="Times New Roman" w:cs="Times New Roman"/>
      <w:color w:val="000000"/>
      <w:sz w:val="21"/>
      <w:szCs w:val="21"/>
      <w:u w:val="none"/>
    </w:rPr>
  </w:style>
  <w:style w:type="character" w:customStyle="1" w:styleId="21">
    <w:name w:val="font31"/>
    <w:basedOn w:val="6"/>
    <w:qFormat/>
    <w:uiPriority w:val="0"/>
    <w:rPr>
      <w:rFonts w:hint="eastAsia" w:ascii="宋体" w:hAnsi="宋体" w:eastAsia="宋体" w:cs="宋体"/>
      <w:color w:val="000000"/>
      <w:sz w:val="22"/>
      <w:szCs w:val="22"/>
      <w:u w:val="none"/>
    </w:rPr>
  </w:style>
  <w:style w:type="character" w:customStyle="1" w:styleId="22">
    <w:name w:val="font41"/>
    <w:basedOn w:val="6"/>
    <w:qFormat/>
    <w:uiPriority w:val="0"/>
    <w:rPr>
      <w:rFonts w:hint="default" w:ascii="Times New Roman" w:hAnsi="Times New Roman" w:cs="Times New Roman"/>
      <w:color w:val="000000"/>
      <w:sz w:val="22"/>
      <w:szCs w:val="22"/>
      <w:u w:val="none"/>
    </w:rPr>
  </w:style>
  <w:style w:type="character" w:customStyle="1" w:styleId="23">
    <w:name w:val="font21"/>
    <w:basedOn w:val="6"/>
    <w:qFormat/>
    <w:uiPriority w:val="0"/>
    <w:rPr>
      <w:rFonts w:hint="eastAsia" w:ascii="宋体" w:hAnsi="宋体" w:eastAsia="宋体" w:cs="宋体"/>
      <w:color w:val="000000"/>
      <w:sz w:val="21"/>
      <w:szCs w:val="21"/>
      <w:u w:val="none"/>
    </w:rPr>
  </w:style>
  <w:style w:type="character" w:customStyle="1" w:styleId="24">
    <w:name w:val="font71"/>
    <w:basedOn w:val="6"/>
    <w:qFormat/>
    <w:uiPriority w:val="0"/>
    <w:rPr>
      <w:rFonts w:hint="eastAsia" w:ascii="宋体" w:hAnsi="宋体" w:eastAsia="宋体" w:cs="宋体"/>
      <w:color w:val="0070C0"/>
      <w:sz w:val="21"/>
      <w:szCs w:val="21"/>
      <w:u w:val="none"/>
    </w:rPr>
  </w:style>
  <w:style w:type="character" w:customStyle="1" w:styleId="25">
    <w:name w:val="font81"/>
    <w:basedOn w:val="6"/>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3970</Words>
  <Characters>4258</Characters>
  <TotalTime>18</TotalTime>
  <ScaleCrop>false</ScaleCrop>
  <LinksUpToDate>false</LinksUpToDate>
  <CharactersWithSpaces>4330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2020-04-14T03:18:00Z</dcterms:created>
  <dc:creator>Administrator</dc:creator>
  <cp:lastModifiedBy>hp</cp:lastModifiedBy>
  <cp:lastPrinted>2024-06-03T07:12:00Z</cp:lastPrinted>
  <dcterms:modified xsi:type="dcterms:W3CDTF">2024-06-04T01:43:12Z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57BFAAD0A12F43EF9792B4192F88EECF_13</vt:lpwstr>
  </property>
</Properties>
</file>