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00"/>
        </w:tabs>
        <w:spacing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法律顾问服</w:t>
      </w:r>
      <w:r>
        <w:rPr>
          <w:rFonts w:hint="eastAsia" w:ascii="方正小标宋简体" w:hAnsi="方正小标宋简体" w:eastAsia="方正小标宋简体"/>
          <w:sz w:val="44"/>
          <w:szCs w:val="44"/>
          <w:lang w:eastAsia="zh-CN"/>
        </w:rPr>
        <w:t>务询价采购</w:t>
      </w:r>
    </w:p>
    <w:p>
      <w:pPr>
        <w:tabs>
          <w:tab w:val="left" w:pos="1100"/>
        </w:tabs>
        <w:spacing w:line="580" w:lineRule="exact"/>
        <w:ind w:firstLine="600"/>
        <w:rPr>
          <w:rFonts w:hint="eastAsia" w:ascii="宋体" w:hAnsi="宋体"/>
          <w:sz w:val="28"/>
          <w:szCs w:val="28"/>
        </w:rPr>
      </w:pPr>
    </w:p>
    <w:p>
      <w:pPr>
        <w:tabs>
          <w:tab w:val="left" w:pos="1100"/>
        </w:tabs>
        <w:spacing w:line="580" w:lineRule="exact"/>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预算</w:t>
      </w:r>
      <w:r>
        <w:rPr>
          <w:rFonts w:hint="eastAsia" w:ascii="仿宋_GB2312" w:hAnsi="宋体" w:eastAsia="仿宋_GB2312"/>
          <w:sz w:val="32"/>
          <w:szCs w:val="32"/>
        </w:rPr>
        <w:t>金额</w:t>
      </w:r>
    </w:p>
    <w:p>
      <w:pPr>
        <w:tabs>
          <w:tab w:val="left" w:pos="1100"/>
        </w:tabs>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40000元</w:t>
      </w:r>
      <w:r>
        <w:rPr>
          <w:rFonts w:hint="eastAsia" w:ascii="仿宋_GB2312" w:hAnsi="宋体" w:eastAsia="仿宋_GB2312"/>
          <w:sz w:val="32"/>
          <w:szCs w:val="32"/>
          <w:lang w:val="en-US" w:eastAsia="zh-CN"/>
        </w:rPr>
        <w:t>/年</w:t>
      </w:r>
    </w:p>
    <w:p>
      <w:pPr>
        <w:tabs>
          <w:tab w:val="left" w:pos="1100"/>
        </w:tabs>
        <w:spacing w:line="580" w:lineRule="exact"/>
        <w:rPr>
          <w:rFonts w:hint="eastAsia" w:ascii="仿宋_GB2312" w:hAnsi="宋体" w:eastAsia="仿宋_GB2312"/>
          <w:sz w:val="32"/>
          <w:szCs w:val="32"/>
        </w:rPr>
      </w:pPr>
      <w:r>
        <w:rPr>
          <w:rFonts w:hint="eastAsia" w:ascii="仿宋_GB2312" w:hAnsi="宋体" w:eastAsia="仿宋_GB2312"/>
          <w:sz w:val="32"/>
          <w:szCs w:val="32"/>
        </w:rPr>
        <w:t>二、采购内容</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rPr>
        <w:t>1、就甲方业务上的</w:t>
      </w:r>
      <w:r>
        <w:rPr>
          <w:rFonts w:hint="eastAsia" w:ascii="仿宋_GB2312" w:hAnsi="宋体" w:eastAsia="仿宋_GB2312"/>
          <w:sz w:val="32"/>
          <w:szCs w:val="32"/>
          <w:lang w:val="en-US" w:eastAsia="zh-CN"/>
        </w:rPr>
        <w:t>日常</w:t>
      </w:r>
      <w:r>
        <w:rPr>
          <w:rFonts w:hint="eastAsia" w:ascii="仿宋_GB2312" w:hAnsi="宋体" w:eastAsia="仿宋_GB2312"/>
          <w:sz w:val="32"/>
          <w:szCs w:val="32"/>
        </w:rPr>
        <w:t>法律问题提供建议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业务上日常法律问题包括但不限于合同问题、侵权问题、物权问题、人事问题、经济问题、商事问题。回复时间应根据问题难易复杂程度在约定时间内予以回复。</w:t>
      </w:r>
    </w:p>
    <w:p>
      <w:pPr>
        <w:tabs>
          <w:tab w:val="left" w:pos="1100"/>
        </w:tabs>
        <w:spacing w:line="580" w:lineRule="exact"/>
        <w:ind w:firstLine="600"/>
        <w:rPr>
          <w:rFonts w:hint="eastAsia" w:ascii="仿宋_GB2312" w:hAnsi="宋体" w:eastAsia="仿宋_GB2312"/>
          <w:sz w:val="32"/>
          <w:szCs w:val="32"/>
          <w:lang w:val="en-US" w:eastAsia="zh-CN"/>
        </w:rPr>
      </w:pPr>
      <w:r>
        <w:rPr>
          <w:rFonts w:hint="eastAsia" w:ascii="仿宋_GB2312" w:hAnsi="宋体" w:eastAsia="仿宋_GB2312"/>
          <w:sz w:val="32"/>
          <w:szCs w:val="32"/>
        </w:rPr>
        <w:t>2、帮助甲方研究有关法律事务文书</w:t>
      </w:r>
      <w:r>
        <w:rPr>
          <w:rFonts w:hint="eastAsia" w:ascii="仿宋_GB2312" w:hAnsi="宋体" w:eastAsia="仿宋_GB2312"/>
          <w:sz w:val="32"/>
          <w:szCs w:val="32"/>
          <w:lang w:val="en-US" w:eastAsia="zh-CN"/>
        </w:rPr>
        <w:t>并提出相关法律建议，应甲方要求制作《法律意见书》。</w:t>
      </w:r>
    </w:p>
    <w:p>
      <w:pPr>
        <w:tabs>
          <w:tab w:val="left" w:pos="1100"/>
        </w:tabs>
        <w:spacing w:line="580" w:lineRule="exact"/>
        <w:ind w:firstLine="600"/>
        <w:rPr>
          <w:rFonts w:hint="eastAsia" w:ascii="仿宋_GB2312" w:hAnsi="宋体" w:eastAsia="仿宋_GB2312"/>
          <w:sz w:val="32"/>
          <w:szCs w:val="32"/>
        </w:rPr>
      </w:pPr>
      <w:r>
        <w:rPr>
          <w:rFonts w:hint="eastAsia" w:ascii="仿宋_GB2312" w:hAnsi="宋体" w:eastAsia="仿宋_GB2312"/>
          <w:sz w:val="32"/>
          <w:szCs w:val="32"/>
        </w:rPr>
        <w:t>3、对甲方合同从法律角度进行</w:t>
      </w:r>
      <w:r>
        <w:rPr>
          <w:rFonts w:hint="eastAsia" w:ascii="仿宋_GB2312" w:hAnsi="宋体" w:eastAsia="仿宋_GB2312"/>
          <w:sz w:val="32"/>
          <w:szCs w:val="32"/>
          <w:lang w:val="en-US" w:eastAsia="zh-CN"/>
        </w:rPr>
        <w:t>起草和</w:t>
      </w:r>
      <w:r>
        <w:rPr>
          <w:rFonts w:hint="eastAsia" w:ascii="仿宋_GB2312" w:hAnsi="宋体" w:eastAsia="仿宋_GB2312"/>
          <w:sz w:val="32"/>
          <w:szCs w:val="32"/>
        </w:rPr>
        <w:t>审查。范围一般包括合同、协议等契约性文件和其他包含法律问题的文件。原则上，普通</w:t>
      </w:r>
      <w:r>
        <w:rPr>
          <w:rFonts w:hint="eastAsia" w:ascii="仿宋_GB2312" w:hAnsi="宋体" w:eastAsia="仿宋_GB2312"/>
          <w:sz w:val="32"/>
          <w:szCs w:val="32"/>
          <w:lang w:val="en-US" w:eastAsia="zh-CN"/>
        </w:rPr>
        <w:t>合同在</w:t>
      </w:r>
      <w:r>
        <w:rPr>
          <w:rFonts w:hint="eastAsia" w:ascii="仿宋_GB2312" w:hAnsi="宋体" w:eastAsia="仿宋_GB2312"/>
          <w:sz w:val="32"/>
          <w:szCs w:val="32"/>
        </w:rPr>
        <w:t>24-48小时内起草审核完毕；重大、复杂的文件根据</w:t>
      </w:r>
      <w:r>
        <w:rPr>
          <w:rFonts w:hint="eastAsia" w:ascii="仿宋_GB2312" w:hAnsi="宋体" w:eastAsia="仿宋_GB2312"/>
          <w:sz w:val="32"/>
          <w:szCs w:val="32"/>
          <w:lang w:val="en-US" w:eastAsia="zh-CN"/>
        </w:rPr>
        <w:t>甲方</w:t>
      </w:r>
      <w:r>
        <w:rPr>
          <w:rFonts w:hint="eastAsia" w:ascii="仿宋_GB2312" w:hAnsi="宋体" w:eastAsia="仿宋_GB2312"/>
          <w:sz w:val="32"/>
          <w:szCs w:val="32"/>
        </w:rPr>
        <w:t>的要求及时完成。在起草和审查</w:t>
      </w:r>
      <w:r>
        <w:rPr>
          <w:rFonts w:hint="eastAsia" w:ascii="仿宋_GB2312" w:hAnsi="宋体" w:eastAsia="仿宋_GB2312"/>
          <w:sz w:val="32"/>
          <w:szCs w:val="32"/>
          <w:lang w:val="en-US" w:eastAsia="zh-CN"/>
        </w:rPr>
        <w:t>合同</w:t>
      </w:r>
      <w:r>
        <w:rPr>
          <w:rFonts w:hint="eastAsia" w:ascii="仿宋_GB2312" w:hAnsi="宋体" w:eastAsia="仿宋_GB2312"/>
          <w:sz w:val="32"/>
          <w:szCs w:val="32"/>
        </w:rPr>
        <w:t>过程中，如发现</w:t>
      </w:r>
      <w:r>
        <w:rPr>
          <w:rFonts w:hint="eastAsia" w:ascii="仿宋_GB2312" w:hAnsi="宋体" w:eastAsia="仿宋_GB2312"/>
          <w:sz w:val="32"/>
          <w:szCs w:val="32"/>
          <w:lang w:val="en-US" w:eastAsia="zh-CN"/>
        </w:rPr>
        <w:t>甲方</w:t>
      </w:r>
      <w:r>
        <w:rPr>
          <w:rFonts w:hint="eastAsia" w:ascii="仿宋_GB2312" w:hAnsi="宋体" w:eastAsia="仿宋_GB2312"/>
          <w:sz w:val="32"/>
          <w:szCs w:val="32"/>
        </w:rPr>
        <w:t>所涉事项有重大法律风险的，律师应当制作《律师风险提示》</w:t>
      </w:r>
      <w:r>
        <w:rPr>
          <w:rFonts w:hint="eastAsia" w:ascii="仿宋_GB2312" w:hAnsi="宋体" w:eastAsia="仿宋_GB2312"/>
          <w:sz w:val="32"/>
          <w:szCs w:val="32"/>
          <w:lang w:eastAsia="zh-CN"/>
        </w:rPr>
        <w:t>。</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rPr>
        <w:t>4、按甲方要求为维护甲方利益协助甲方通知</w:t>
      </w:r>
      <w:r>
        <w:rPr>
          <w:rFonts w:hint="eastAsia" w:ascii="仿宋_GB2312" w:hAnsi="宋体" w:eastAsia="仿宋_GB2312"/>
          <w:sz w:val="32"/>
          <w:szCs w:val="32"/>
          <w:lang w:val="en-US" w:eastAsia="zh-CN"/>
        </w:rPr>
        <w:t>，积极保障甲方合法权益</w:t>
      </w:r>
      <w:r>
        <w:rPr>
          <w:rFonts w:hint="eastAsia" w:ascii="仿宋_GB2312" w:hAnsi="宋体" w:eastAsia="仿宋_GB2312"/>
          <w:sz w:val="32"/>
          <w:szCs w:val="32"/>
          <w:lang w:eastAsia="zh-CN"/>
        </w:rPr>
        <w:t>。</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rPr>
        <w:t>5、参与甲方对外重大项目的谈判和签约</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为甲方</w:t>
      </w:r>
      <w:r>
        <w:rPr>
          <w:rFonts w:hint="eastAsia" w:ascii="仿宋_GB2312" w:hAnsi="宋体" w:eastAsia="仿宋_GB2312"/>
          <w:sz w:val="32"/>
          <w:szCs w:val="32"/>
        </w:rPr>
        <w:t>每次谈判后对谈判过程涉及的法律问题进行法律论证，</w:t>
      </w:r>
      <w:r>
        <w:rPr>
          <w:rFonts w:hint="eastAsia" w:ascii="仿宋_GB2312" w:hAnsi="宋体" w:eastAsia="仿宋_GB2312"/>
          <w:sz w:val="32"/>
          <w:szCs w:val="32"/>
          <w:lang w:val="en-US" w:eastAsia="zh-CN"/>
        </w:rPr>
        <w:t>向甲方提供法律建议和协助甲方</w:t>
      </w:r>
      <w:r>
        <w:rPr>
          <w:rFonts w:hint="eastAsia" w:ascii="仿宋_GB2312" w:hAnsi="宋体" w:eastAsia="仿宋_GB2312"/>
          <w:sz w:val="32"/>
          <w:szCs w:val="32"/>
        </w:rPr>
        <w:t>调整谈判方案</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对甲方谈判业务、谈判方向、谈判注意事项作法律风险提示。</w:t>
      </w:r>
    </w:p>
    <w:p>
      <w:pPr>
        <w:tabs>
          <w:tab w:val="left" w:pos="1100"/>
        </w:tabs>
        <w:spacing w:line="580" w:lineRule="exact"/>
        <w:ind w:firstLine="600"/>
        <w:rPr>
          <w:rFonts w:hint="eastAsia" w:ascii="仿宋_GB2312" w:hAnsi="宋体" w:eastAsia="仿宋_GB2312"/>
          <w:sz w:val="32"/>
          <w:szCs w:val="32"/>
          <w:lang w:val="en-US" w:eastAsia="zh-CN"/>
        </w:rPr>
      </w:pPr>
      <w:r>
        <w:rPr>
          <w:rFonts w:hint="eastAsia" w:ascii="仿宋_GB2312" w:hAnsi="宋体" w:eastAsia="仿宋_GB2312"/>
          <w:sz w:val="32"/>
          <w:szCs w:val="32"/>
        </w:rPr>
        <w:t>6、按甲方要求，</w:t>
      </w:r>
      <w:r>
        <w:rPr>
          <w:rFonts w:hint="eastAsia" w:ascii="仿宋_GB2312" w:hAnsi="宋体" w:eastAsia="仿宋_GB2312"/>
          <w:sz w:val="32"/>
          <w:szCs w:val="32"/>
          <w:lang w:val="en-US" w:eastAsia="zh-CN"/>
        </w:rPr>
        <w:t>协助甲方对规章制度、合同文本制定规范性文件，如固定合同范本、学校规章制度、宿舍管理制度、学校安全制度等。</w:t>
      </w:r>
    </w:p>
    <w:p>
      <w:pPr>
        <w:tabs>
          <w:tab w:val="left" w:pos="1100"/>
        </w:tabs>
        <w:spacing w:line="580" w:lineRule="exact"/>
        <w:ind w:firstLine="600"/>
        <w:rPr>
          <w:rFonts w:hint="eastAsia" w:ascii="仿宋_GB2312" w:hAnsi="宋体" w:eastAsia="仿宋_GB2312"/>
          <w:sz w:val="32"/>
          <w:szCs w:val="32"/>
        </w:rPr>
      </w:pPr>
      <w:r>
        <w:rPr>
          <w:rFonts w:hint="eastAsia" w:ascii="仿宋_GB2312" w:hAnsi="宋体" w:eastAsia="仿宋_GB2312"/>
          <w:sz w:val="32"/>
          <w:szCs w:val="32"/>
        </w:rPr>
        <w:t>7、定期为甲方员工提供民法典、行政法、教育法、劳动法及应</w:t>
      </w:r>
      <w:r>
        <w:rPr>
          <w:rFonts w:hint="eastAsia" w:ascii="仿宋_GB2312" w:hAnsi="宋体" w:eastAsia="仿宋_GB2312"/>
          <w:sz w:val="32"/>
          <w:szCs w:val="32"/>
          <w:lang w:val="en-US" w:eastAsia="zh-CN"/>
        </w:rPr>
        <w:t>甲方</w:t>
      </w:r>
      <w:r>
        <w:rPr>
          <w:rFonts w:hint="eastAsia" w:ascii="仿宋_GB2312" w:hAnsi="宋体" w:eastAsia="仿宋_GB2312"/>
          <w:sz w:val="32"/>
          <w:szCs w:val="32"/>
        </w:rPr>
        <w:t>要求提供其他方面的法律培训</w:t>
      </w:r>
      <w:r>
        <w:rPr>
          <w:rFonts w:hint="eastAsia" w:ascii="仿宋_GB2312" w:hAnsi="宋体" w:eastAsia="仿宋_GB2312"/>
          <w:sz w:val="32"/>
          <w:szCs w:val="32"/>
          <w:lang w:eastAsia="zh-CN"/>
        </w:rPr>
        <w:t>，</w:t>
      </w:r>
      <w:r>
        <w:rPr>
          <w:rFonts w:hint="eastAsia" w:ascii="仿宋_GB2312" w:hAnsi="宋体" w:eastAsia="仿宋_GB2312"/>
          <w:sz w:val="32"/>
          <w:szCs w:val="32"/>
        </w:rPr>
        <w:t>定期开展讲座等法律宣传活动。</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rPr>
        <w:t>8、协助</w:t>
      </w:r>
      <w:r>
        <w:rPr>
          <w:rFonts w:hint="eastAsia" w:ascii="仿宋_GB2312" w:hAnsi="宋体" w:eastAsia="仿宋_GB2312"/>
          <w:sz w:val="32"/>
          <w:szCs w:val="32"/>
          <w:lang w:val="en-US" w:eastAsia="zh-CN"/>
        </w:rPr>
        <w:t>甲方</w:t>
      </w:r>
      <w:r>
        <w:rPr>
          <w:rFonts w:hint="eastAsia" w:ascii="仿宋_GB2312" w:hAnsi="宋体" w:eastAsia="仿宋_GB2312"/>
          <w:sz w:val="32"/>
          <w:szCs w:val="32"/>
        </w:rPr>
        <w:t>做好法制示范校创建中相关工作。</w:t>
      </w:r>
      <w:r>
        <w:rPr>
          <w:rFonts w:hint="eastAsia" w:ascii="仿宋_GB2312" w:hAnsi="宋体" w:eastAsia="仿宋_GB2312"/>
          <w:sz w:val="32"/>
          <w:szCs w:val="32"/>
          <w:lang w:val="en-US" w:eastAsia="zh-CN"/>
        </w:rPr>
        <w:t>按照甲方要求，在甲方法制示范校创建过程中协助甲方制定计划方案、提供法律咨询、丰富学校法律活动等工作。</w:t>
      </w:r>
    </w:p>
    <w:p>
      <w:pPr>
        <w:tabs>
          <w:tab w:val="left" w:pos="1100"/>
        </w:tabs>
        <w:spacing w:line="58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三、其他要求</w:t>
      </w:r>
    </w:p>
    <w:p>
      <w:pPr>
        <w:tabs>
          <w:tab w:val="left" w:pos="1100"/>
        </w:tabs>
        <w:spacing w:line="580" w:lineRule="exact"/>
        <w:ind w:firstLine="6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1、律所成立时间应为5年以上。</w:t>
      </w:r>
    </w:p>
    <w:p>
      <w:pPr>
        <w:tabs>
          <w:tab w:val="left" w:pos="1100"/>
        </w:tabs>
        <w:spacing w:line="580" w:lineRule="exact"/>
        <w:ind w:firstLine="6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2、律所应当提供执业许可证。</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律所</w:t>
      </w:r>
      <w:r>
        <w:rPr>
          <w:rFonts w:hint="eastAsia" w:ascii="仿宋_GB2312" w:hAnsi="宋体" w:eastAsia="仿宋_GB2312"/>
          <w:sz w:val="32"/>
          <w:szCs w:val="32"/>
          <w:lang w:val="en-US" w:eastAsia="zh-CN"/>
        </w:rPr>
        <w:t>执业律师人数应为3人以上。</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4、律所应当提供市级以上荣誉证明。</w:t>
      </w:r>
    </w:p>
    <w:p>
      <w:pPr>
        <w:tabs>
          <w:tab w:val="left" w:pos="1100"/>
        </w:tabs>
        <w:spacing w:line="58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5、律所概况</w:t>
      </w:r>
      <w:r>
        <w:rPr>
          <w:rFonts w:hint="eastAsia" w:ascii="仿宋_GB2312" w:hAnsi="宋体" w:eastAsia="仿宋_GB2312"/>
          <w:sz w:val="32"/>
          <w:szCs w:val="32"/>
        </w:rPr>
        <w:t>及履约能力说明</w:t>
      </w:r>
      <w:r>
        <w:rPr>
          <w:rFonts w:hint="eastAsia" w:ascii="仿宋_GB2312" w:hAnsi="宋体" w:eastAsia="仿宋_GB2312"/>
          <w:sz w:val="32"/>
          <w:szCs w:val="32"/>
          <w:lang w:eastAsia="zh-CN"/>
        </w:rPr>
        <w:t>。</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6、律所</w:t>
      </w:r>
      <w:r>
        <w:rPr>
          <w:rFonts w:hint="default" w:ascii="仿宋_GB2312" w:hAnsi="宋体" w:eastAsia="仿宋_GB2312"/>
          <w:sz w:val="32"/>
          <w:szCs w:val="32"/>
          <w:lang w:val="en-US" w:eastAsia="zh-CN"/>
        </w:rPr>
        <w:t>拟</w:t>
      </w:r>
      <w:r>
        <w:rPr>
          <w:rFonts w:hint="eastAsia" w:ascii="仿宋_GB2312" w:hAnsi="宋体" w:eastAsia="仿宋_GB2312"/>
          <w:sz w:val="32"/>
          <w:szCs w:val="32"/>
          <w:lang w:val="en-US" w:eastAsia="zh-CN"/>
        </w:rPr>
        <w:t>指派法律服务</w:t>
      </w:r>
      <w:r>
        <w:rPr>
          <w:rFonts w:hint="default" w:ascii="仿宋_GB2312" w:hAnsi="宋体" w:eastAsia="仿宋_GB2312"/>
          <w:sz w:val="32"/>
          <w:szCs w:val="32"/>
          <w:lang w:val="en-US" w:eastAsia="zh-CN"/>
        </w:rPr>
        <w:t>团队人员配备</w:t>
      </w:r>
      <w:r>
        <w:rPr>
          <w:rFonts w:hint="eastAsia" w:ascii="仿宋_GB2312" w:hAnsi="宋体" w:eastAsia="仿宋_GB2312"/>
          <w:sz w:val="32"/>
          <w:szCs w:val="32"/>
          <w:lang w:val="en-US" w:eastAsia="zh-CN"/>
        </w:rPr>
        <w:t>、负责人信息以及执业律师信息。</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7、律所</w:t>
      </w:r>
      <w:r>
        <w:rPr>
          <w:rFonts w:hint="eastAsia" w:ascii="仿宋_GB2312" w:hAnsi="宋体" w:eastAsia="仿宋_GB2312"/>
          <w:sz w:val="32"/>
          <w:szCs w:val="32"/>
        </w:rPr>
        <w:t>服务方案</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包括法律顾问服务方案、</w:t>
      </w:r>
      <w:r>
        <w:rPr>
          <w:rFonts w:hint="eastAsia" w:ascii="仿宋_GB2312" w:hAnsi="宋体" w:eastAsia="仿宋_GB2312"/>
          <w:sz w:val="32"/>
          <w:szCs w:val="32"/>
        </w:rPr>
        <w:t>工作质量保证措施</w:t>
      </w:r>
      <w:r>
        <w:rPr>
          <w:rFonts w:hint="eastAsia" w:ascii="仿宋_GB2312" w:hAnsi="宋体" w:eastAsia="仿宋_GB2312"/>
          <w:sz w:val="32"/>
          <w:szCs w:val="32"/>
          <w:lang w:eastAsia="zh-CN"/>
        </w:rPr>
        <w:t>、</w:t>
      </w:r>
      <w:r>
        <w:rPr>
          <w:rFonts w:hint="eastAsia" w:ascii="仿宋_GB2312" w:hAnsi="宋体" w:eastAsia="仿宋_GB2312"/>
          <w:sz w:val="32"/>
          <w:szCs w:val="32"/>
        </w:rPr>
        <w:t>服务期保证措施</w:t>
      </w:r>
      <w:r>
        <w:rPr>
          <w:rFonts w:hint="eastAsia" w:ascii="仿宋_GB2312" w:hAnsi="宋体" w:eastAsia="仿宋_GB2312"/>
          <w:sz w:val="32"/>
          <w:szCs w:val="32"/>
          <w:lang w:eastAsia="zh-CN"/>
        </w:rPr>
        <w:t>、</w:t>
      </w:r>
      <w:r>
        <w:rPr>
          <w:rFonts w:hint="default" w:ascii="仿宋_GB2312" w:hAnsi="宋体" w:eastAsia="仿宋_GB2312"/>
          <w:sz w:val="32"/>
          <w:szCs w:val="32"/>
          <w:lang w:val="en-US" w:eastAsia="zh-CN"/>
        </w:rPr>
        <w:t>针对本项目相关建议</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针对突发事件的应急方案</w:t>
      </w:r>
      <w:r>
        <w:rPr>
          <w:rFonts w:hint="eastAsia" w:ascii="仿宋_GB2312" w:hAnsi="宋体" w:eastAsia="仿宋_GB2312"/>
          <w:sz w:val="32"/>
          <w:szCs w:val="32"/>
          <w:lang w:val="en-US" w:eastAsia="zh-CN"/>
        </w:rPr>
        <w:t>。</w:t>
      </w:r>
    </w:p>
    <w:p>
      <w:pPr>
        <w:tabs>
          <w:tab w:val="left" w:pos="1100"/>
        </w:tabs>
        <w:spacing w:line="580" w:lineRule="exact"/>
        <w:ind w:firstLine="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w:t>
      </w:r>
      <w:r>
        <w:rPr>
          <w:rFonts w:hint="default" w:ascii="仿宋_GB2312" w:hAnsi="宋体" w:eastAsia="仿宋_GB2312"/>
          <w:sz w:val="32"/>
          <w:szCs w:val="32"/>
          <w:lang w:val="en-US" w:eastAsia="zh-CN"/>
        </w:rPr>
        <w:t>服务承诺</w:t>
      </w:r>
      <w:r>
        <w:rPr>
          <w:rFonts w:hint="eastAsia" w:ascii="仿宋_GB2312" w:hAnsi="宋体" w:eastAsia="仿宋_GB2312"/>
          <w:sz w:val="32"/>
          <w:szCs w:val="32"/>
          <w:lang w:val="en-US" w:eastAsia="zh-CN"/>
        </w:rPr>
        <w:t>：</w:t>
      </w:r>
      <w:r>
        <w:rPr>
          <w:rFonts w:hint="eastAsia" w:ascii="仿宋_GB2312" w:hAnsi="宋体" w:eastAsia="仿宋_GB2312"/>
          <w:sz w:val="32"/>
          <w:szCs w:val="32"/>
        </w:rPr>
        <w:t>廉政承诺函、“重法纪、讲诚信” 承诺函</w:t>
      </w:r>
    </w:p>
    <w:p>
      <w:pPr>
        <w:tabs>
          <w:tab w:val="left" w:pos="1100"/>
        </w:tabs>
        <w:spacing w:line="580" w:lineRule="exact"/>
        <w:ind w:firstLine="600"/>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信用中国网站截图（包括但不限于以上材料）</w:t>
      </w:r>
    </w:p>
    <w:p>
      <w:pPr>
        <w:tabs>
          <w:tab w:val="left" w:pos="1100"/>
        </w:tabs>
        <w:spacing w:line="58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10、律所法律服务合作单位</w:t>
      </w:r>
      <w:r>
        <w:rPr>
          <w:rFonts w:hint="eastAsia" w:ascii="仿宋_GB2312" w:hAnsi="宋体" w:eastAsia="仿宋_GB2312"/>
          <w:sz w:val="32"/>
          <w:szCs w:val="32"/>
          <w:lang w:eastAsia="zh-CN"/>
        </w:rPr>
        <w:t>。</w:t>
      </w:r>
    </w:p>
    <w:p>
      <w:pPr>
        <w:pStyle w:val="2"/>
        <w:rPr>
          <w:rFonts w:hint="eastAsia"/>
          <w:lang w:val="en-US" w:eastAsia="zh-CN"/>
        </w:rPr>
      </w:pPr>
      <w:r>
        <w:rPr>
          <w:rFonts w:hint="eastAsia" w:ascii="仿宋_GB2312" w:hAnsi="宋体" w:eastAsia="仿宋_GB2312"/>
          <w:sz w:val="32"/>
          <w:szCs w:val="32"/>
          <w:lang w:val="en-US" w:eastAsia="zh-CN"/>
        </w:rPr>
        <w:t>11、须在响应文件内提供相应证明材料复印件并加盖公章。</w:t>
      </w:r>
      <w:bookmarkStart w:id="0" w:name="_GoBack"/>
      <w:bookmarkEnd w:id="0"/>
    </w:p>
    <w:p>
      <w:pPr>
        <w:numPr>
          <w:ilvl w:val="0"/>
          <w:numId w:val="0"/>
        </w:numPr>
        <w:tabs>
          <w:tab w:val="left" w:pos="1100"/>
        </w:tabs>
        <w:spacing w:line="580" w:lineRule="exact"/>
        <w:rPr>
          <w:rFonts w:hint="eastAsia" w:ascii="宋体" w:hAnsi="宋体"/>
          <w:sz w:val="28"/>
          <w:szCs w:val="28"/>
          <w:lang w:eastAsia="zh-CN"/>
        </w:rPr>
      </w:pPr>
      <w:r>
        <w:rPr>
          <w:rFonts w:hint="eastAsia" w:ascii="宋体" w:hAnsi="宋体"/>
          <w:sz w:val="28"/>
          <w:szCs w:val="28"/>
          <w:lang w:eastAsia="zh-CN"/>
        </w:rPr>
        <w:t>四、服务期限</w:t>
      </w:r>
    </w:p>
    <w:p>
      <w:pPr>
        <w:pStyle w:val="13"/>
        <w:spacing w:line="360" w:lineRule="auto"/>
        <w:ind w:firstLine="640" w:firstLineChars="200"/>
        <w:rPr>
          <w:rFonts w:hint="eastAsia" w:ascii="仿宋_GB2312" w:hAnsi="宋体" w:eastAsia="仿宋_GB2312" w:cs="Times New Roman"/>
          <w:kern w:val="2"/>
          <w:position w:val="0"/>
          <w:sz w:val="32"/>
          <w:szCs w:val="32"/>
          <w:lang w:val="en-US" w:eastAsia="zh-CN" w:bidi="ar-SA"/>
        </w:rPr>
      </w:pPr>
      <w:r>
        <w:rPr>
          <w:rFonts w:hint="eastAsia" w:ascii="仿宋_GB2312" w:hAnsi="宋体" w:eastAsia="仿宋_GB2312" w:cs="Times New Roman"/>
          <w:kern w:val="2"/>
          <w:position w:val="0"/>
          <w:sz w:val="32"/>
          <w:szCs w:val="32"/>
          <w:lang w:val="en-US" w:eastAsia="zh-CN" w:bidi="ar-SA"/>
        </w:rPr>
        <w:t>本项目总期限最长不超过三年（含），合同逐年签订，合同一年到期后，甲方视中标商上一年度提供服务的考评及财政预算安排情况确定是否续签。</w:t>
      </w:r>
    </w:p>
    <w:p>
      <w:pPr>
        <w:pStyle w:val="13"/>
        <w:numPr>
          <w:ilvl w:val="0"/>
          <w:numId w:val="2"/>
        </w:numPr>
        <w:spacing w:line="360" w:lineRule="auto"/>
        <w:ind w:firstLine="640" w:firstLineChars="0"/>
        <w:rPr>
          <w:rFonts w:hint="eastAsia" w:ascii="仿宋_GB2312" w:hAnsi="宋体" w:eastAsia="仿宋_GB2312" w:cs="Times New Roman"/>
          <w:kern w:val="2"/>
          <w:position w:val="0"/>
          <w:sz w:val="32"/>
          <w:szCs w:val="32"/>
          <w:lang w:val="en-US" w:eastAsia="zh-CN" w:bidi="ar-SA"/>
        </w:rPr>
      </w:pPr>
      <w:r>
        <w:rPr>
          <w:rFonts w:hint="eastAsia" w:ascii="仿宋_GB2312" w:hAnsi="宋体" w:eastAsia="仿宋_GB2312" w:cs="Times New Roman"/>
          <w:kern w:val="2"/>
          <w:position w:val="0"/>
          <w:sz w:val="32"/>
          <w:szCs w:val="32"/>
          <w:lang w:val="en-US" w:eastAsia="zh-CN" w:bidi="ar-SA"/>
        </w:rPr>
        <w:t>付款方式</w:t>
      </w:r>
    </w:p>
    <w:p>
      <w:pPr>
        <w:pStyle w:val="13"/>
        <w:numPr>
          <w:ilvl w:val="0"/>
          <w:numId w:val="0"/>
        </w:numPr>
        <w:spacing w:line="360" w:lineRule="auto"/>
        <w:rPr>
          <w:rFonts w:hint="eastAsia" w:ascii="仿宋_GB2312" w:hAnsi="宋体" w:eastAsia="仿宋_GB2312" w:cs="Times New Roman"/>
          <w:kern w:val="2"/>
          <w:position w:val="0"/>
          <w:sz w:val="32"/>
          <w:szCs w:val="32"/>
          <w:lang w:val="en-US" w:eastAsia="zh-CN" w:bidi="ar-SA"/>
        </w:rPr>
      </w:pPr>
      <w:r>
        <w:rPr>
          <w:rFonts w:hint="eastAsia" w:ascii="仿宋_GB2312" w:hAnsi="宋体" w:eastAsia="仿宋_GB2312" w:cs="Times New Roman"/>
          <w:kern w:val="2"/>
          <w:position w:val="0"/>
          <w:sz w:val="32"/>
          <w:szCs w:val="32"/>
          <w:lang w:val="en-US" w:eastAsia="zh-CN" w:bidi="ar-SA"/>
        </w:rPr>
        <w:t xml:space="preserve">    此项目采用先服务后付款方式每六个月结算一次（服务六个月后结算50%中标额）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35EA"/>
    <w:multiLevelType w:val="multilevel"/>
    <w:tmpl w:val="33ED35EA"/>
    <w:lvl w:ilvl="0" w:tentative="0">
      <w:start w:val="1"/>
      <w:numFmt w:val="decimal"/>
      <w:pStyle w:val="3"/>
      <w:lvlText w:val="%1"/>
      <w:lvlJc w:val="left"/>
      <w:pPr>
        <w:tabs>
          <w:tab w:val="left" w:pos="1992"/>
        </w:tabs>
        <w:ind w:left="567" w:firstLine="993"/>
      </w:pPr>
      <w:rPr>
        <w:rFonts w:hint="eastAsia"/>
      </w:rPr>
    </w:lvl>
    <w:lvl w:ilvl="1" w:tentative="0">
      <w:start w:val="1"/>
      <w:numFmt w:val="decimal"/>
      <w:pStyle w:val="5"/>
      <w:lvlText w:val="%1.%2"/>
      <w:lvlJc w:val="left"/>
      <w:pPr>
        <w:tabs>
          <w:tab w:val="left" w:pos="576"/>
        </w:tabs>
        <w:ind w:left="996" w:hanging="576"/>
      </w:pPr>
      <w:rPr>
        <w:rFonts w:hint="eastAsia"/>
        <w:lang w:val="en-US"/>
      </w:rPr>
    </w:lvl>
    <w:lvl w:ilvl="2" w:tentative="0">
      <w:start w:val="1"/>
      <w:numFmt w:val="decimal"/>
      <w:pStyle w:val="6"/>
      <w:lvlText w:val="%1.%2.%3"/>
      <w:lvlJc w:val="left"/>
      <w:pPr>
        <w:tabs>
          <w:tab w:val="left" w:pos="720"/>
        </w:tabs>
        <w:ind w:left="720" w:hanging="720"/>
      </w:pPr>
      <w:rPr>
        <w:rFonts w:hint="default" w:ascii="宋体" w:hAnsi="宋体" w:eastAsia="宋体" w:cs="宋体"/>
      </w:rPr>
    </w:lvl>
    <w:lvl w:ilvl="3" w:tentative="0">
      <w:start w:val="1"/>
      <w:numFmt w:val="decimal"/>
      <w:pStyle w:val="7"/>
      <w:lvlText w:val="%1.%2.%3.%4"/>
      <w:lvlJc w:val="left"/>
      <w:pPr>
        <w:tabs>
          <w:tab w:val="left" w:pos="864"/>
        </w:tabs>
        <w:ind w:left="864" w:hanging="864"/>
      </w:pPr>
      <w:rPr>
        <w:rFonts w:hint="default" w:ascii="宋体" w:hAnsi="宋体" w:eastAsia="宋体" w:cs="宋体"/>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
    <w:nsid w:val="63B7A61F"/>
    <w:multiLevelType w:val="singleLevel"/>
    <w:tmpl w:val="63B7A61F"/>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mJiNmMxZDNiZDlhZjgxMjljNzcxM2RlYjFmOWIifQ=="/>
  </w:docVars>
  <w:rsids>
    <w:rsidRoot w:val="00120BA2"/>
    <w:rsid w:val="00120BA2"/>
    <w:rsid w:val="0019429E"/>
    <w:rsid w:val="00203F6B"/>
    <w:rsid w:val="00340991"/>
    <w:rsid w:val="003E4ED7"/>
    <w:rsid w:val="005A72ED"/>
    <w:rsid w:val="005D0588"/>
    <w:rsid w:val="007D5AF8"/>
    <w:rsid w:val="007F0D5F"/>
    <w:rsid w:val="00840AFA"/>
    <w:rsid w:val="00867A06"/>
    <w:rsid w:val="008E4CA7"/>
    <w:rsid w:val="00A760E9"/>
    <w:rsid w:val="00AD6F97"/>
    <w:rsid w:val="00AF507B"/>
    <w:rsid w:val="00B931BD"/>
    <w:rsid w:val="00E223FF"/>
    <w:rsid w:val="00EA5B94"/>
    <w:rsid w:val="00F50951"/>
    <w:rsid w:val="00F5250F"/>
    <w:rsid w:val="05CD4E2E"/>
    <w:rsid w:val="0C2972BF"/>
    <w:rsid w:val="0EBC1EAD"/>
    <w:rsid w:val="0F5502E4"/>
    <w:rsid w:val="112C24FB"/>
    <w:rsid w:val="13051C72"/>
    <w:rsid w:val="134578A4"/>
    <w:rsid w:val="1C900B31"/>
    <w:rsid w:val="1CC932F4"/>
    <w:rsid w:val="1FAE5FDD"/>
    <w:rsid w:val="20DF30E6"/>
    <w:rsid w:val="25AF752A"/>
    <w:rsid w:val="2A4915D0"/>
    <w:rsid w:val="36FC267F"/>
    <w:rsid w:val="37866054"/>
    <w:rsid w:val="37C404E8"/>
    <w:rsid w:val="3C7123F8"/>
    <w:rsid w:val="3F330039"/>
    <w:rsid w:val="411E510D"/>
    <w:rsid w:val="48CE566A"/>
    <w:rsid w:val="4B4B4867"/>
    <w:rsid w:val="4C8D1398"/>
    <w:rsid w:val="4CB44B77"/>
    <w:rsid w:val="514C052C"/>
    <w:rsid w:val="51734070"/>
    <w:rsid w:val="52903990"/>
    <w:rsid w:val="5AFF3461"/>
    <w:rsid w:val="5E3478C6"/>
    <w:rsid w:val="5EF17D2A"/>
    <w:rsid w:val="601079E5"/>
    <w:rsid w:val="617E77D6"/>
    <w:rsid w:val="64F56FB5"/>
    <w:rsid w:val="691B590A"/>
    <w:rsid w:val="6CC83FFB"/>
    <w:rsid w:val="6D434A7C"/>
    <w:rsid w:val="75DA6B4D"/>
    <w:rsid w:val="760D0CD1"/>
    <w:rsid w:val="77AD3593"/>
    <w:rsid w:val="78DA351B"/>
    <w:rsid w:val="7DF7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9"/>
    <w:qFormat/>
    <w:uiPriority w:val="0"/>
    <w:pPr>
      <w:keepNext/>
      <w:keepLines/>
      <w:numPr>
        <w:ilvl w:val="0"/>
        <w:numId w:val="1"/>
      </w:numPr>
      <w:spacing w:before="340" w:after="330" w:line="579" w:lineRule="auto"/>
      <w:ind w:left="0" w:firstLine="0"/>
      <w:jc w:val="left"/>
      <w:outlineLvl w:val="0"/>
    </w:pPr>
    <w:rPr>
      <w:rFonts w:ascii="Times New Roman" w:hAnsi="Times New Roman" w:eastAsia="黑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lock Text"/>
    <w:basedOn w:val="1"/>
    <w:qFormat/>
    <w:uiPriority w:val="0"/>
    <w:pPr>
      <w:spacing w:after="120"/>
      <w:ind w:left="1440" w:leftChars="700" w:right="700" w:rightChars="700"/>
    </w:pPr>
  </w:style>
  <w:style w:type="paragraph" w:styleId="13">
    <w:name w:val="Plain Text"/>
    <w:basedOn w:val="1"/>
    <w:uiPriority w:val="0"/>
    <w:pPr>
      <w:adjustRightInd/>
      <w:spacing w:line="240" w:lineRule="auto"/>
      <w:jc w:val="both"/>
      <w:textAlignment w:val="auto"/>
    </w:pPr>
    <w:rPr>
      <w:rFonts w:hAnsi="Courier New" w:cs="楷体"/>
      <w:kern w:val="2"/>
      <w:position w:val="0"/>
      <w:sz w:val="21"/>
      <w:szCs w:val="21"/>
    </w:rPr>
  </w:style>
  <w:style w:type="paragraph" w:styleId="14">
    <w:name w:val="footer"/>
    <w:basedOn w:val="1"/>
    <w:link w:val="21"/>
    <w:qFormat/>
    <w:uiPriority w:val="0"/>
    <w:pPr>
      <w:tabs>
        <w:tab w:val="center" w:pos="4153"/>
        <w:tab w:val="right" w:pos="8306"/>
      </w:tabs>
      <w:snapToGrid w:val="0"/>
      <w:jc w:val="left"/>
    </w:pPr>
    <w:rPr>
      <w:sz w:val="18"/>
      <w:szCs w:val="18"/>
    </w:rPr>
  </w:style>
  <w:style w:type="paragraph" w:styleId="1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link w:val="3"/>
    <w:qFormat/>
    <w:uiPriority w:val="0"/>
    <w:rPr>
      <w:rFonts w:ascii="Times New Roman" w:hAnsi="Times New Roman" w:eastAsia="黑体"/>
      <w:b/>
      <w:bCs/>
      <w:kern w:val="44"/>
      <w:sz w:val="32"/>
      <w:szCs w:val="44"/>
    </w:rPr>
  </w:style>
  <w:style w:type="character" w:customStyle="1" w:styleId="20">
    <w:name w:val="页眉 Char"/>
    <w:basedOn w:val="16"/>
    <w:link w:val="15"/>
    <w:qFormat/>
    <w:uiPriority w:val="0"/>
    <w:rPr>
      <w:kern w:val="2"/>
      <w:sz w:val="18"/>
      <w:szCs w:val="18"/>
    </w:rPr>
  </w:style>
  <w:style w:type="character" w:customStyle="1" w:styleId="21">
    <w:name w:val="页脚 Char"/>
    <w:basedOn w:val="16"/>
    <w:link w:val="14"/>
    <w:qFormat/>
    <w:uiPriority w:val="0"/>
    <w:rPr>
      <w:kern w:val="2"/>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119</Words>
  <Characters>680</Characters>
  <Lines>5</Lines>
  <Paragraphs>1</Paragraphs>
  <TotalTime>1</TotalTime>
  <ScaleCrop>false</ScaleCrop>
  <LinksUpToDate>false</LinksUpToDate>
  <CharactersWithSpaces>798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2023-01-05T04:23:00Z</dcterms:created>
  <dc:creator>Administrator</dc:creator>
  <cp:lastModifiedBy>哈尔滨幼儿师范高等专科学校</cp:lastModifiedBy>
  <dcterms:modified xsi:type="dcterms:W3CDTF">2023-01-08T04:29:06Z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ACFFBB973F0F4140A013D5F0C22DBA6C</vt:lpwstr>
  </property>
</Properties>
</file>