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ascii="方正小标宋简体" w:hAnsi="黑体" w:eastAsia="方正小标宋简体"/>
          <w:sz w:val="36"/>
          <w:szCs w:val="36"/>
        </w:rPr>
      </w:pPr>
      <w:r>
        <w:rPr>
          <w:rFonts w:hint="eastAsia" w:ascii="方正小标宋简体" w:hAnsi="黑体" w:eastAsia="方正小标宋简体"/>
          <w:sz w:val="36"/>
          <w:szCs w:val="36"/>
          <w:lang w:eastAsia="zh-CN"/>
        </w:rPr>
        <w:t>2024</w:t>
      </w:r>
      <w:r>
        <w:rPr>
          <w:rFonts w:hint="eastAsia" w:ascii="方正小标宋简体" w:hAnsi="黑体" w:eastAsia="方正小标宋简体"/>
          <w:sz w:val="36"/>
          <w:szCs w:val="36"/>
        </w:rPr>
        <w:t>年度全国教育科学规划</w:t>
      </w:r>
      <w:r>
        <w:rPr>
          <w:rFonts w:hint="eastAsia" w:ascii="方正小标宋简体" w:hAnsi="黑体" w:eastAsia="方正小标宋简体"/>
          <w:sz w:val="36"/>
          <w:szCs w:val="36"/>
          <w:lang w:eastAsia="zh-CN"/>
        </w:rPr>
        <w:t>专项选题</w:t>
      </w:r>
      <w:r>
        <w:rPr>
          <w:rFonts w:hint="eastAsia" w:ascii="方正小标宋简体" w:hAnsi="黑体" w:eastAsia="方正小标宋简体"/>
          <w:sz w:val="36"/>
          <w:szCs w:val="36"/>
        </w:rPr>
        <w:t>指南</w:t>
      </w:r>
    </w:p>
    <w:p/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Times New Roman" w:eastAsia="仿宋_GB2312" w:cs="Times New Roman"/>
          <w:b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专项每个选题原则上只确立1个立项项目。</w:t>
      </w:r>
    </w:p>
    <w:p>
      <w:pPr>
        <w:spacing w:before="156" w:beforeLines="50" w:after="156" w:afterLines="50" w:line="600" w:lineRule="exact"/>
        <w:jc w:val="center"/>
        <w:rPr>
          <w:rFonts w:hint="eastAsia" w:ascii="仿宋_GB2312" w:hAnsi="Times New Roman" w:eastAsia="仿宋_GB2312" w:cs="Times New Roman"/>
          <w:b/>
          <w:bCs/>
          <w:color w:val="auto"/>
          <w:kern w:val="2"/>
          <w:sz w:val="40"/>
          <w:szCs w:val="40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b/>
          <w:bCs/>
          <w:color w:val="auto"/>
          <w:kern w:val="2"/>
          <w:sz w:val="40"/>
          <w:szCs w:val="40"/>
          <w:lang w:val="en-US" w:eastAsia="zh-CN" w:bidi="ar-SA"/>
        </w:rPr>
        <w:t>高校毕业生就业</w:t>
      </w:r>
      <w:bookmarkStart w:id="0" w:name="_GoBack"/>
      <w:bookmarkEnd w:id="0"/>
      <w:r>
        <w:rPr>
          <w:rFonts w:hint="eastAsia" w:ascii="仿宋_GB2312" w:hAnsi="Times New Roman" w:eastAsia="仿宋_GB2312" w:cs="Times New Roman"/>
          <w:b/>
          <w:bCs/>
          <w:color w:val="auto"/>
          <w:kern w:val="2"/>
          <w:sz w:val="40"/>
          <w:szCs w:val="40"/>
          <w:lang w:val="en-US" w:eastAsia="zh-CN" w:bidi="ar-SA"/>
        </w:rPr>
        <w:t>研究专项</w:t>
      </w:r>
    </w:p>
    <w:p>
      <w:pPr>
        <w:spacing w:before="156" w:beforeLines="50" w:after="156" w:afterLines="50" w:line="600" w:lineRule="exact"/>
        <w:ind w:firstLine="640" w:firstLineChars="200"/>
        <w:jc w:val="both"/>
        <w:rPr>
          <w:rFonts w:hint="eastAsia" w:ascii="仿宋_GB2312" w:hAnsi="Times New Roman" w:eastAsia="仿宋_GB2312" w:cs="Times New Roman"/>
          <w:b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/>
          <w:color w:val="auto"/>
          <w:sz w:val="32"/>
          <w:szCs w:val="32"/>
          <w:lang w:eastAsia="zh-CN"/>
        </w:rPr>
        <w:t>申报</w:t>
      </w:r>
      <w:r>
        <w:rPr>
          <w:rFonts w:hint="eastAsia" w:ascii="仿宋_GB2312" w:hAnsi="Times New Roman" w:eastAsia="仿宋_GB2312" w:cs="Times New Roman"/>
          <w:b/>
          <w:bCs/>
          <w:color w:val="auto"/>
          <w:kern w:val="2"/>
          <w:sz w:val="32"/>
          <w:szCs w:val="32"/>
          <w:lang w:val="en-US" w:eastAsia="zh-CN" w:bidi="ar-SA"/>
        </w:rPr>
        <w:t>高校毕业生就业研究专项</w:t>
      </w:r>
      <w:r>
        <w:rPr>
          <w:rFonts w:hint="eastAsia" w:ascii="仿宋_GB2312" w:hAnsi="Times New Roman" w:eastAsia="仿宋_GB2312"/>
          <w:color w:val="auto"/>
          <w:sz w:val="32"/>
          <w:szCs w:val="32"/>
          <w:lang w:eastAsia="zh-CN"/>
        </w:rPr>
        <w:t>，可以</w:t>
      </w:r>
      <w:r>
        <w:rPr>
          <w:rFonts w:hint="eastAsia" w:ascii="仿宋_GB2312" w:hAnsi="Times New Roman" w:eastAsia="仿宋_GB2312"/>
          <w:color w:val="auto"/>
          <w:sz w:val="32"/>
          <w:szCs w:val="32"/>
        </w:rPr>
        <w:t>从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指南</w:t>
      </w:r>
      <w:r>
        <w:rPr>
          <w:rFonts w:hint="eastAsia" w:ascii="仿宋_GB2312" w:hAnsi="Times New Roman" w:eastAsia="仿宋_GB2312"/>
          <w:color w:val="auto"/>
          <w:sz w:val="32"/>
          <w:szCs w:val="32"/>
        </w:rPr>
        <w:t>中选</w:t>
      </w:r>
      <w:r>
        <w:rPr>
          <w:rFonts w:hint="eastAsia" w:ascii="仿宋_GB2312" w:hAnsi="Times New Roman" w:eastAsia="仿宋_GB2312"/>
          <w:color w:val="auto"/>
          <w:sz w:val="32"/>
          <w:szCs w:val="32"/>
          <w:lang w:val="en-US" w:eastAsia="zh-CN"/>
        </w:rPr>
        <w:t>题，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val="en-US" w:eastAsia="zh-CN"/>
        </w:rPr>
        <w:t>如</w:t>
      </w:r>
      <w:r>
        <w:rPr>
          <w:rFonts w:hint="eastAsia" w:ascii="仿宋_GB2312" w:hAnsi="Times New Roman" w:eastAsia="仿宋_GB2312"/>
          <w:color w:val="auto"/>
          <w:sz w:val="32"/>
          <w:szCs w:val="32"/>
          <w:lang w:val="en-US" w:eastAsia="zh-CN"/>
        </w:rPr>
        <w:t>确有需要，可对选题进行适当微调，但不得大幅压缩或改变研究内容</w:t>
      </w:r>
      <w:r>
        <w:rPr>
          <w:rFonts w:hint="eastAsia" w:ascii="仿宋_GB2312" w:hAnsi="Times New Roman" w:eastAsia="仿宋_GB2312"/>
          <w:color w:val="auto"/>
          <w:sz w:val="32"/>
          <w:szCs w:val="32"/>
          <w:lang w:eastAsia="zh-CN"/>
        </w:rPr>
        <w:t>；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也可以</w:t>
      </w:r>
      <w:r>
        <w:rPr>
          <w:rFonts w:hint="eastAsia" w:ascii="仿宋_GB2312" w:hAnsi="Times New Roman" w:eastAsia="仿宋_GB2312"/>
          <w:color w:val="auto"/>
          <w:sz w:val="32"/>
          <w:szCs w:val="32"/>
          <w:lang w:eastAsia="zh-CN"/>
        </w:rPr>
        <w:t>自拟选题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，但</w:t>
      </w:r>
      <w:r>
        <w:rPr>
          <w:rFonts w:hint="eastAsia" w:ascii="仿宋_GB2312" w:hAnsi="Times New Roman" w:eastAsia="仿宋_GB2312"/>
          <w:color w:val="auto"/>
          <w:sz w:val="32"/>
          <w:szCs w:val="32"/>
          <w:lang w:eastAsia="zh-CN"/>
        </w:rPr>
        <w:t>必须与专项研究领域密切相关。</w:t>
      </w:r>
    </w:p>
    <w:p>
      <w:pPr>
        <w:numPr>
          <w:ilvl w:val="0"/>
          <w:numId w:val="1"/>
        </w:numPr>
        <w:spacing w:before="156" w:beforeLines="50" w:after="156" w:afterLines="50" w:line="600" w:lineRule="exact"/>
        <w:ind w:left="845" w:leftChars="0"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重点产业人才供需状况研究</w:t>
      </w:r>
    </w:p>
    <w:p>
      <w:pPr>
        <w:numPr>
          <w:ilvl w:val="0"/>
          <w:numId w:val="1"/>
        </w:numPr>
        <w:spacing w:before="156" w:beforeLines="50" w:after="156" w:afterLines="50" w:line="600" w:lineRule="exact"/>
        <w:ind w:left="845" w:leftChars="0"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以就业和社会需求为导向的学科专业结构设置调整</w:t>
      </w:r>
      <w:r>
        <w:rPr>
          <w:rFonts w:hint="eastAsia" w:ascii="仿宋_GB2312" w:eastAsia="仿宋_GB2312"/>
          <w:sz w:val="32"/>
          <w:szCs w:val="32"/>
          <w:lang w:eastAsia="zh-CN"/>
        </w:rPr>
        <w:t>研究</w:t>
      </w:r>
    </w:p>
    <w:p>
      <w:pPr>
        <w:numPr>
          <w:ilvl w:val="0"/>
          <w:numId w:val="1"/>
        </w:numPr>
        <w:spacing w:before="156" w:beforeLines="50" w:after="156" w:afterLines="50" w:line="600" w:lineRule="exact"/>
        <w:ind w:left="845" w:leftChars="0"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产业结构与学科专业结构适配研究</w:t>
      </w:r>
    </w:p>
    <w:p>
      <w:pPr>
        <w:numPr>
          <w:ilvl w:val="0"/>
          <w:numId w:val="1"/>
        </w:numPr>
        <w:spacing w:before="156" w:beforeLines="50" w:after="156" w:afterLines="50" w:line="600" w:lineRule="exact"/>
        <w:ind w:left="845" w:leftChars="0"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就业创业政策研究</w:t>
      </w:r>
    </w:p>
    <w:p>
      <w:pPr>
        <w:numPr>
          <w:ilvl w:val="0"/>
          <w:numId w:val="1"/>
        </w:numPr>
        <w:spacing w:before="156" w:beforeLines="50" w:after="156" w:afterLines="50" w:line="600" w:lineRule="exact"/>
        <w:ind w:left="845" w:leftChars="0"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就业育人引导中国特色生涯教育理论体系构建研究</w:t>
      </w:r>
    </w:p>
    <w:p>
      <w:pPr>
        <w:numPr>
          <w:ilvl w:val="0"/>
          <w:numId w:val="1"/>
        </w:numPr>
        <w:spacing w:before="156" w:beforeLines="50" w:after="156" w:afterLines="50" w:line="600" w:lineRule="exact"/>
        <w:ind w:left="845" w:leftChars="0"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就业能力标准体系研究</w:t>
      </w:r>
    </w:p>
    <w:p>
      <w:pPr>
        <w:numPr>
          <w:ilvl w:val="0"/>
          <w:numId w:val="1"/>
        </w:numPr>
        <w:spacing w:before="156" w:beforeLines="50" w:after="156" w:afterLines="50" w:line="600" w:lineRule="exact"/>
        <w:ind w:left="845" w:leftChars="0"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就业状况跟踪调查研究</w:t>
      </w:r>
    </w:p>
    <w:p>
      <w:pPr>
        <w:numPr>
          <w:ilvl w:val="0"/>
          <w:numId w:val="1"/>
        </w:numPr>
        <w:spacing w:before="156" w:beforeLines="50" w:after="156" w:afterLines="50" w:line="600" w:lineRule="exact"/>
        <w:ind w:left="845" w:leftChars="0"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就业质量综合评价研究</w:t>
      </w:r>
    </w:p>
    <w:p>
      <w:pPr>
        <w:numPr>
          <w:ilvl w:val="0"/>
          <w:numId w:val="1"/>
        </w:numPr>
        <w:spacing w:before="156" w:beforeLines="50" w:after="156" w:afterLines="50" w:line="600" w:lineRule="exact"/>
        <w:ind w:left="845" w:leftChars="0"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就业监测反馈研究</w:t>
      </w:r>
    </w:p>
    <w:p>
      <w:pPr>
        <w:numPr>
          <w:ilvl w:val="0"/>
          <w:numId w:val="1"/>
        </w:numPr>
        <w:spacing w:before="156" w:beforeLines="50" w:after="156" w:afterLines="50" w:line="600" w:lineRule="exact"/>
        <w:ind w:left="845" w:leftChars="0"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就业与招生培养联动研究</w:t>
      </w:r>
    </w:p>
    <w:p>
      <w:pPr>
        <w:numPr>
          <w:ilvl w:val="0"/>
          <w:numId w:val="1"/>
        </w:numPr>
        <w:spacing w:before="156" w:beforeLines="50" w:after="156" w:afterLines="50" w:line="600" w:lineRule="exact"/>
        <w:ind w:left="845" w:leftChars="0"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重点群体就业帮扶机制研究</w:t>
      </w:r>
    </w:p>
    <w:p>
      <w:pPr>
        <w:numPr>
          <w:ilvl w:val="0"/>
          <w:numId w:val="1"/>
        </w:numPr>
        <w:spacing w:before="156" w:beforeLines="50" w:after="156" w:afterLines="50" w:line="600" w:lineRule="exact"/>
        <w:ind w:left="845" w:leftChars="0" w:firstLineChars="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高校就业指导服务机构建设标准、规范、机制研究</w:t>
      </w:r>
    </w:p>
    <w:p>
      <w:pPr>
        <w:numPr>
          <w:ilvl w:val="0"/>
          <w:numId w:val="1"/>
        </w:numPr>
        <w:spacing w:before="156" w:beforeLines="50" w:after="156" w:afterLines="50" w:line="600" w:lineRule="exact"/>
        <w:ind w:left="845" w:leftChars="0" w:firstLineChars="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国家人才供需对接大数据平台建设路径研究</w:t>
      </w:r>
    </w:p>
    <w:p>
      <w:pPr>
        <w:numPr>
          <w:ilvl w:val="0"/>
          <w:numId w:val="1"/>
        </w:numPr>
        <w:spacing w:before="156" w:beforeLines="50" w:after="156" w:afterLines="50" w:line="600" w:lineRule="exact"/>
        <w:ind w:left="845" w:leftChars="0" w:firstLineChars="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人工智能发展对大学生就业的影响研究</w:t>
      </w:r>
    </w:p>
    <w:p>
      <w:pPr>
        <w:numPr>
          <w:ilvl w:val="0"/>
          <w:numId w:val="1"/>
        </w:numPr>
        <w:spacing w:before="156" w:beforeLines="50" w:after="156" w:afterLines="50" w:line="600" w:lineRule="exact"/>
        <w:ind w:left="845" w:leftChars="0" w:firstLineChars="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产业结构调整对大学生就业的影响研究</w:t>
      </w:r>
    </w:p>
    <w:p>
      <w:pPr>
        <w:numPr>
          <w:ilvl w:val="0"/>
          <w:numId w:val="1"/>
        </w:numPr>
        <w:spacing w:before="156" w:beforeLines="50" w:after="156" w:afterLines="50" w:line="600" w:lineRule="exact"/>
        <w:ind w:left="845" w:leftChars="0" w:firstLineChars="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大学生就业服务数字化、智能化研究</w:t>
      </w:r>
    </w:p>
    <w:p/>
    <w:p>
      <w:pPr>
        <w:numPr>
          <w:ilvl w:val="0"/>
          <w:numId w:val="0"/>
        </w:numPr>
        <w:spacing w:before="156" w:beforeLines="50" w:after="156" w:afterLines="50" w:line="600" w:lineRule="exact"/>
        <w:jc w:val="center"/>
        <w:rPr>
          <w:rFonts w:hint="eastAsia" w:ascii="仿宋_GB2312" w:eastAsia="仿宋_GB2312"/>
          <w:b/>
          <w:bCs/>
          <w:sz w:val="40"/>
          <w:szCs w:val="40"/>
          <w:lang w:eastAsia="zh-CN"/>
        </w:rPr>
      </w:pPr>
      <w:r>
        <w:rPr>
          <w:rFonts w:hint="eastAsia" w:ascii="仿宋_GB2312" w:eastAsia="仿宋_GB2312"/>
          <w:b/>
          <w:bCs/>
          <w:sz w:val="40"/>
          <w:szCs w:val="40"/>
          <w:lang w:eastAsia="zh-CN"/>
        </w:rPr>
        <w:t>教育考试研究专项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eastAsia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val="en-US" w:eastAsia="zh-CN"/>
        </w:rPr>
        <w:t>申报</w:t>
      </w:r>
      <w:r>
        <w:rPr>
          <w:rFonts w:hint="eastAsia" w:ascii="仿宋_GB2312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教育考试研究专项</w:t>
      </w:r>
      <w:r>
        <w:rPr>
          <w:rFonts w:hint="eastAsia" w:ascii="仿宋_GB2312" w:eastAsia="仿宋_GB2312" w:cs="Times New Roman"/>
          <w:b/>
          <w:bCs/>
          <w:color w:val="auto"/>
          <w:sz w:val="32"/>
          <w:szCs w:val="32"/>
          <w:lang w:val="en-US" w:eastAsia="zh-CN"/>
        </w:rPr>
        <w:t>，</w:t>
      </w:r>
      <w:r>
        <w:rPr>
          <w:rFonts w:hint="eastAsia" w:ascii="仿宋_GB2312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须从指南中选题，重点项目的相应条目有括号标注，自拟选题不予受理。</w:t>
      </w:r>
    </w:p>
    <w:p>
      <w:pPr>
        <w:numPr>
          <w:ilvl w:val="0"/>
          <w:numId w:val="2"/>
        </w:numPr>
        <w:spacing w:before="156" w:beforeLines="50" w:after="156" w:afterLines="50" w:line="600" w:lineRule="exact"/>
        <w:ind w:left="845" w:leftChars="0" w:firstLineChars="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服务拔尖创新人才选育的教育考试改革方略研究（重点）</w:t>
      </w:r>
    </w:p>
    <w:p>
      <w:pPr>
        <w:numPr>
          <w:ilvl w:val="0"/>
          <w:numId w:val="2"/>
        </w:numPr>
        <w:spacing w:before="156" w:beforeLines="50" w:after="156" w:afterLines="50" w:line="600" w:lineRule="exact"/>
        <w:ind w:left="845" w:leftChars="0" w:firstLineChars="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智慧考试的理论建构和实践探索研究（重点）</w:t>
      </w:r>
    </w:p>
    <w:p>
      <w:pPr>
        <w:numPr>
          <w:ilvl w:val="0"/>
          <w:numId w:val="2"/>
        </w:numPr>
        <w:spacing w:before="156" w:beforeLines="50" w:after="156" w:afterLines="50" w:line="600" w:lineRule="exact"/>
        <w:ind w:left="845" w:leftChars="0" w:firstLineChars="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中国教育考试</w:t>
      </w:r>
      <w:r>
        <w:rPr>
          <w:rFonts w:hint="eastAsia" w:ascii="仿宋_GB2312" w:eastAsia="仿宋_GB2312"/>
          <w:sz w:val="32"/>
          <w:szCs w:val="32"/>
          <w:lang w:eastAsia="zh-CN"/>
        </w:rPr>
        <w:t>现代化</w:t>
      </w:r>
      <w:r>
        <w:rPr>
          <w:rFonts w:hint="eastAsia" w:ascii="仿宋_GB2312" w:eastAsia="仿宋_GB2312"/>
          <w:sz w:val="32"/>
          <w:szCs w:val="32"/>
        </w:rPr>
        <w:t>理论体系建构研究</w:t>
      </w:r>
      <w:r>
        <w:rPr>
          <w:rFonts w:hint="eastAsia" w:ascii="仿宋_GB2312" w:eastAsia="仿宋_GB2312"/>
          <w:sz w:val="32"/>
          <w:szCs w:val="32"/>
        </w:rPr>
        <w:tab/>
      </w:r>
    </w:p>
    <w:p>
      <w:pPr>
        <w:numPr>
          <w:ilvl w:val="0"/>
          <w:numId w:val="2"/>
        </w:numPr>
        <w:spacing w:before="156" w:beforeLines="50" w:after="156" w:afterLines="50" w:line="600" w:lineRule="exact"/>
        <w:ind w:left="845" w:leftChars="0" w:firstLineChars="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适应多元化人才选育的高考系统性改革策略研究</w:t>
      </w:r>
    </w:p>
    <w:p>
      <w:pPr>
        <w:numPr>
          <w:ilvl w:val="0"/>
          <w:numId w:val="2"/>
        </w:numPr>
        <w:spacing w:before="156" w:beforeLines="50" w:after="156" w:afterLines="50" w:line="600" w:lineRule="exact"/>
        <w:ind w:left="845" w:leftChars="0" w:firstLineChars="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高考难度理论分析模型构建与实证研究</w:t>
      </w:r>
    </w:p>
    <w:p>
      <w:pPr>
        <w:numPr>
          <w:ilvl w:val="0"/>
          <w:numId w:val="2"/>
        </w:numPr>
        <w:spacing w:before="156" w:beforeLines="50" w:after="156" w:afterLines="50" w:line="600" w:lineRule="exact"/>
        <w:ind w:left="845" w:leftChars="0" w:firstLineChars="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普通高等学校艺术类专业招生省级统考改革效果评估研究</w:t>
      </w:r>
    </w:p>
    <w:p>
      <w:pPr>
        <w:numPr>
          <w:ilvl w:val="0"/>
          <w:numId w:val="2"/>
        </w:numPr>
        <w:spacing w:before="156" w:beforeLines="50" w:after="156" w:afterLines="50" w:line="600" w:lineRule="exact"/>
        <w:ind w:left="845" w:leftChars="0" w:firstLineChars="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职教高考制度的行动方略研究</w:t>
      </w:r>
    </w:p>
    <w:p>
      <w:pPr>
        <w:numPr>
          <w:ilvl w:val="0"/>
          <w:numId w:val="2"/>
        </w:numPr>
        <w:spacing w:before="156" w:beforeLines="50" w:after="156" w:afterLines="50" w:line="600" w:lineRule="exact"/>
        <w:ind w:left="845" w:leftChars="0" w:firstLineChars="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教育强国建设背景下硕士研究生招生考试改革策略研究</w:t>
      </w:r>
    </w:p>
    <w:p>
      <w:pPr>
        <w:numPr>
          <w:ilvl w:val="0"/>
          <w:numId w:val="2"/>
        </w:numPr>
        <w:spacing w:before="156" w:beforeLines="50" w:after="156" w:afterLines="50" w:line="600" w:lineRule="exact"/>
        <w:ind w:left="845" w:leftChars="0" w:firstLineChars="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新时代高等教育自学考试助力终身学习服务体系构建的策略研究</w:t>
      </w:r>
    </w:p>
    <w:p>
      <w:pPr>
        <w:numPr>
          <w:ilvl w:val="0"/>
          <w:numId w:val="2"/>
        </w:numPr>
        <w:spacing w:before="156" w:beforeLines="50" w:after="156" w:afterLines="50" w:line="600" w:lineRule="exact"/>
        <w:ind w:left="845" w:leftChars="0" w:firstLineChars="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中小学教师资格考试与教师专业发展的关系研究</w:t>
      </w:r>
    </w:p>
    <w:p>
      <w:pPr>
        <w:numPr>
          <w:ilvl w:val="0"/>
          <w:numId w:val="2"/>
        </w:numPr>
        <w:spacing w:before="156" w:beforeLines="50" w:after="156" w:afterLines="50" w:line="600" w:lineRule="exact"/>
        <w:ind w:left="845" w:leftChars="0" w:firstLineChars="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教育考试数据标准体系研究</w:t>
      </w:r>
    </w:p>
    <w:p>
      <w:pPr>
        <w:numPr>
          <w:ilvl w:val="0"/>
          <w:numId w:val="2"/>
        </w:numPr>
        <w:spacing w:before="156" w:beforeLines="50" w:after="156" w:afterLines="50" w:line="600" w:lineRule="exact"/>
        <w:ind w:left="845" w:leftChars="0" w:firstLineChars="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认知智能大模型技术在教育考试评价中的应用研究</w:t>
      </w:r>
    </w:p>
    <w:p>
      <w:pPr>
        <w:numPr>
          <w:ilvl w:val="0"/>
          <w:numId w:val="2"/>
        </w:numPr>
        <w:spacing w:before="156" w:beforeLines="50" w:after="156" w:afterLines="50" w:line="600" w:lineRule="exact"/>
        <w:ind w:left="845" w:leftChars="0" w:firstLineChars="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数字化背景下国家教育考试机考管理体系构建与实践研究</w:t>
      </w:r>
    </w:p>
    <w:p/>
    <w:p/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29AF814-728A-4266-A105-24D964B70F9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B659CFA3-C74A-45C1-96E2-0D899327D77A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6C88C8D9-0BA1-4C53-9553-935396880532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07BA389A-C0FD-45E8-B202-3E6649B3913A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1929581"/>
    <w:multiLevelType w:val="singleLevel"/>
    <w:tmpl w:val="81929581"/>
    <w:lvl w:ilvl="0" w:tentative="0">
      <w:start w:val="1"/>
      <w:numFmt w:val="decimal"/>
      <w:lvlText w:val="%1."/>
      <w:lvlJc w:val="left"/>
      <w:pPr>
        <w:ind w:left="845" w:hanging="425"/>
      </w:pPr>
      <w:rPr>
        <w:rFonts w:hint="default"/>
      </w:rPr>
    </w:lvl>
  </w:abstractNum>
  <w:abstractNum w:abstractNumId="1">
    <w:nsid w:val="37682F87"/>
    <w:multiLevelType w:val="singleLevel"/>
    <w:tmpl w:val="37682F87"/>
    <w:lvl w:ilvl="0" w:tentative="0">
      <w:start w:val="1"/>
      <w:numFmt w:val="decimal"/>
      <w:lvlText w:val="%1."/>
      <w:lvlJc w:val="left"/>
      <w:pPr>
        <w:ind w:left="845" w:hanging="425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YyNWJmYzI2YmFjNDI0MTdiNDVmMGJiNDFlZDZiZjAifQ=="/>
  </w:docVars>
  <w:rsids>
    <w:rsidRoot w:val="21420D02"/>
    <w:rsid w:val="11F61489"/>
    <w:rsid w:val="17056E8A"/>
    <w:rsid w:val="1B33591C"/>
    <w:rsid w:val="1DF93765"/>
    <w:rsid w:val="21420D02"/>
    <w:rsid w:val="2483647E"/>
    <w:rsid w:val="289F1BF8"/>
    <w:rsid w:val="345E036E"/>
    <w:rsid w:val="37475889"/>
    <w:rsid w:val="3BC43C03"/>
    <w:rsid w:val="3E901825"/>
    <w:rsid w:val="435C3CCA"/>
    <w:rsid w:val="4DB95EF9"/>
    <w:rsid w:val="4E3A10AC"/>
    <w:rsid w:val="4E8B1908"/>
    <w:rsid w:val="54582A89"/>
    <w:rsid w:val="55DA66E7"/>
    <w:rsid w:val="646D42B5"/>
    <w:rsid w:val="6C68355C"/>
    <w:rsid w:val="7C687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2024-05-06T07:28:00Z</dcterms:created>
  <dc:creator>初见</dc:creator>
  <cp:lastModifiedBy>勿忘心安</cp:lastModifiedBy>
  <cp:lastPrinted>2024-05-14T07:47:00Z</cp:lastPrinted>
  <dcterms:modified xsi:type="dcterms:W3CDTF">2024-05-22T00:53:18Z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13ED575F16A24A2CA24CEA6440E1E166_11</vt:lpwstr>
  </property>
</Properties>
</file>